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B26C1A0">
      <w:pPr>
        <w:tabs>
          <w:tab w:val="center" w:pos="4734"/>
          <w:tab w:val="right" w:pos="9468"/>
        </w:tabs>
        <w:jc w:val="right"/>
        <w:rPr>
          <w:rFonts w:ascii="方正小标宋简体" w:eastAsia="方正小标宋简体"/>
          <w:w w:val="120"/>
        </w:rPr>
      </w:pPr>
      <w:bookmarkStart w:id="0" w:name="_Toc99349798"/>
      <w:bookmarkStart w:id="1" w:name="_Toc99349718"/>
      <w:bookmarkStart w:id="43" w:name="_GoBack"/>
      <w:bookmarkEnd w:id="43"/>
      <w:r>
        <w:rPr>
          <w:rFonts w:ascii="方正小标宋简体" w:eastAsia="方正小标宋简体"/>
          <w:w w:val="120"/>
        </w:rPr>
        <w:drawing>
          <wp:inline distT="0" distB="0" distL="0" distR="0">
            <wp:extent cx="2733675" cy="793115"/>
            <wp:effectExtent l="19050" t="0" r="9525" b="0"/>
            <wp:docPr id="6" name="图片 6" descr="C:\Users\WangZhe\Documents\WeChat Files\wxid_87bduolstxjx21\FileStorage\Temp\034a2578f4bf632c05387f59f2daf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WangZhe\Documents\WeChat Files\wxid_87bduolstxjx21\FileStorage\Temp\034a2578f4bf632c05387f59f2dafb3.png"/>
                    <pic:cNvPicPr>
                      <a:picLocks noChangeAspect="1" noChangeArrowheads="1"/>
                    </pic:cNvPicPr>
                  </pic:nvPicPr>
                  <pic:blipFill>
                    <a:blip r:embed="rId8"/>
                    <a:srcRect/>
                    <a:stretch>
                      <a:fillRect/>
                    </a:stretch>
                  </pic:blipFill>
                  <pic:spPr>
                    <a:xfrm>
                      <a:off x="0" y="0"/>
                      <a:ext cx="2733675" cy="793443"/>
                    </a:xfrm>
                    <a:prstGeom prst="rect">
                      <a:avLst/>
                    </a:prstGeom>
                    <a:noFill/>
                    <a:ln w="9525">
                      <a:noFill/>
                      <a:miter lim="800000"/>
                      <a:headEnd/>
                      <a:tailEnd/>
                    </a:ln>
                  </pic:spPr>
                </pic:pic>
              </a:graphicData>
            </a:graphic>
          </wp:inline>
        </w:drawing>
      </w:r>
      <w:r>
        <w:rPr>
          <w:rFonts w:ascii="方正小标宋简体" w:eastAsia="方正小标宋简体"/>
          <w:w w:val="120"/>
        </w:rPr>
        <w:tab/>
      </w:r>
    </w:p>
    <w:p w14:paraId="556FD6C4">
      <w:pPr>
        <w:spacing w:beforeLines="150"/>
        <w:jc w:val="center"/>
        <w:rPr>
          <w:rFonts w:ascii="方正小标宋简体" w:eastAsia="方正小标宋简体"/>
          <w:w w:val="120"/>
          <w:sz w:val="52"/>
          <w:szCs w:val="52"/>
        </w:rPr>
      </w:pPr>
      <w:r>
        <w:rPr>
          <w:rFonts w:hint="eastAsia" w:ascii="方正小标宋简体" w:eastAsia="方正小标宋简体"/>
          <w:w w:val="120"/>
          <w:sz w:val="52"/>
          <w:szCs w:val="52"/>
        </w:rPr>
        <w:t>安徽省地方计量校准规范</w:t>
      </w:r>
    </w:p>
    <w:p w14:paraId="5C0C9518">
      <w:pPr>
        <w:tabs>
          <w:tab w:val="center" w:pos="4734"/>
          <w:tab w:val="right" w:pos="9468"/>
        </w:tabs>
        <w:jc w:val="left"/>
        <w:rPr>
          <w:rFonts w:ascii="方正小标宋简体" w:eastAsia="方正小标宋简体"/>
          <w:w w:val="120"/>
        </w:rPr>
      </w:pPr>
    </w:p>
    <w:p w14:paraId="22E843F1">
      <w:pPr>
        <w:wordWrap w:val="0"/>
        <w:jc w:val="right"/>
        <w:rPr>
          <w:rFonts w:ascii="黑体" w:hAnsi="黑体" w:eastAsia="黑体"/>
          <w:sz w:val="28"/>
        </w:rPr>
      </w:pPr>
      <w:r>
        <w:pict>
          <v:line id="直接连接符 4" o:spid="_x0000_s2115" o:spt="20" style="position:absolute;left:0pt;margin-left:0pt;margin-top:30.3pt;height:0pt;width:467.7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">
            <v:path arrowok="t"/>
            <v:fill focussize="0,0"/>
            <v:stroke/>
            <v:imagedata o:title=""/>
            <o:lock v:ext="edit"/>
          </v:line>
        </w:pict>
      </w:r>
      <w:r>
        <w:rPr>
          <w:rFonts w:ascii="黑体" w:hAnsi="Georgia" w:eastAsia="黑体"/>
          <w:sz w:val="28"/>
        </w:rPr>
        <w:t xml:space="preserve"> </w:t>
      </w:r>
      <w:r>
        <w:rPr>
          <w:rFonts w:ascii="黑体" w:hAnsi="黑体" w:eastAsia="黑体"/>
          <w:sz w:val="28"/>
        </w:rPr>
        <w:t>JJ</w:t>
      </w:r>
      <w:r>
        <w:rPr>
          <w:rFonts w:hint="eastAsia" w:ascii="黑体" w:hAnsi="黑体" w:eastAsia="黑体"/>
          <w:sz w:val="28"/>
        </w:rPr>
        <w:t>F（皖）××</w:t>
      </w:r>
      <w:r>
        <w:rPr>
          <w:rFonts w:ascii="黑体" w:hAnsi="黑体" w:eastAsia="黑体"/>
          <w:sz w:val="28"/>
        </w:rPr>
        <w:t>—202</w:t>
      </w:r>
      <w:r>
        <w:rPr>
          <w:rFonts w:hint="eastAsia" w:ascii="黑体" w:hAnsi="黑体" w:eastAsia="黑体"/>
          <w:sz w:val="28"/>
        </w:rPr>
        <w:t>4</w:t>
      </w:r>
    </w:p>
    <w:p w14:paraId="6A1E8F2E"/>
    <w:p w14:paraId="3113D0D9"/>
    <w:p w14:paraId="428E9C23">
      <w:pPr>
        <w:tabs>
          <w:tab w:val="left" w:pos="7465"/>
        </w:tabs>
        <w:jc w:val="left"/>
        <w:rPr>
          <w:sz w:val="52"/>
        </w:rPr>
      </w:pPr>
      <w:r>
        <w:rPr>
          <w:sz w:val="52"/>
        </w:rPr>
        <w:tab/>
      </w:r>
    </w:p>
    <w:p w14:paraId="08DFF0CB">
      <w:pPr>
        <w:jc w:val="center"/>
        <w:rPr>
          <w:sz w:val="52"/>
        </w:rPr>
      </w:pPr>
    </w:p>
    <w:p w14:paraId="05C3B145">
      <w:pPr>
        <w:autoSpaceDE w:val="0"/>
        <w:autoSpaceDN w:val="0"/>
        <w:adjustRightInd w:val="0"/>
        <w:jc w:val="center"/>
        <w:rPr>
          <w:rFonts w:ascii="黑体" w:eastAsia="黑体" w:cs="SimHei-Identity-H"/>
          <w:kern w:val="0"/>
          <w:sz w:val="52"/>
          <w:szCs w:val="52"/>
        </w:rPr>
      </w:pPr>
      <w:r>
        <w:rPr>
          <w:rFonts w:hint="eastAsia" w:ascii="黑体" w:hAnsi="黑体" w:eastAsia="黑体" w:cs="黑体"/>
          <w:sz w:val="52"/>
          <w:szCs w:val="52"/>
        </w:rPr>
        <w:t>原位压力机校准规范</w:t>
      </w:r>
    </w:p>
    <w:p w14:paraId="55F88788">
      <w:pPr>
        <w:spacing w:line="360" w:lineRule="auto"/>
        <w:jc w:val="center"/>
        <w:rPr>
          <w:rFonts w:ascii="黑体" w:hAnsi="黑体" w:eastAsia="黑体"/>
          <w:kern w:val="0"/>
          <w:sz w:val="28"/>
          <w:szCs w:val="28"/>
        </w:rPr>
      </w:pPr>
      <w:r>
        <w:t>Calibration Specification for</w:t>
      </w:r>
      <w:r>
        <w:rPr>
          <w:rFonts w:hint="eastAsia"/>
        </w:rPr>
        <w:t xml:space="preserve"> In Situ Compression Machines</w:t>
      </w:r>
    </w:p>
    <w:p w14:paraId="54661999">
      <w:pPr>
        <w:jc w:val="center"/>
        <w:rPr>
          <w:rFonts w:hint="default" w:eastAsia="宋体"/>
          <w:sz w:val="30"/>
          <w:lang w:val="en-US" w:eastAsia="zh-CN"/>
        </w:rPr>
      </w:pPr>
      <w:r>
        <w:rPr>
          <w:rFonts w:hint="eastAsia"/>
          <w:sz w:val="30"/>
          <w:lang w:eastAsia="zh-CN"/>
        </w:rPr>
        <w:t>（</w:t>
      </w:r>
      <w:r>
        <w:rPr>
          <w:rFonts w:hint="eastAsia"/>
          <w:sz w:val="30"/>
          <w:lang w:val="en-US" w:eastAsia="zh-CN"/>
        </w:rPr>
        <w:t>报批稿）</w:t>
      </w:r>
    </w:p>
    <w:p w14:paraId="5DA01B06">
      <w:pPr>
        <w:jc w:val="center"/>
        <w:rPr>
          <w:sz w:val="30"/>
        </w:rPr>
      </w:pPr>
    </w:p>
    <w:p w14:paraId="28F254AC">
      <w:pPr>
        <w:jc w:val="center"/>
        <w:rPr>
          <w:sz w:val="30"/>
        </w:rPr>
      </w:pPr>
    </w:p>
    <w:p w14:paraId="3948C8F6">
      <w:pPr>
        <w:jc w:val="center"/>
        <w:rPr>
          <w:sz w:val="30"/>
        </w:rPr>
      </w:pPr>
    </w:p>
    <w:p w14:paraId="2D2379C2">
      <w:pPr>
        <w:spacing w:beforeLines="350"/>
        <w:jc w:val="center"/>
        <w:rPr>
          <w:rFonts w:ascii="方正小标宋简体" w:eastAsia="方正小标宋简体"/>
          <w:w w:val="120"/>
          <w:sz w:val="44"/>
          <w:szCs w:val="44"/>
        </w:rPr>
      </w:pPr>
      <w:r>
        <w:rPr>
          <w:rFonts w:ascii="黑体" w:eastAsia="黑体"/>
          <w:sz w:val="28"/>
          <w:szCs w:val="28"/>
        </w:rPr>
        <w:t>XXX-XX-XX</w:t>
      </w:r>
      <w:r>
        <w:rPr>
          <w:rFonts w:hint="eastAsia" w:ascii="黑体" w:eastAsia="黑体"/>
          <w:sz w:val="28"/>
          <w:szCs w:val="28"/>
        </w:rPr>
        <w:t>发布</w:t>
      </w:r>
      <w:r>
        <w:rPr>
          <w:rFonts w:ascii="黑体" w:eastAsia="黑体"/>
          <w:sz w:val="28"/>
          <w:szCs w:val="28"/>
        </w:rPr>
        <w:tab/>
      </w:r>
      <w:r>
        <w:rPr>
          <w:rFonts w:ascii="黑体" w:eastAsia="黑体"/>
          <w:sz w:val="28"/>
          <w:szCs w:val="28"/>
        </w:rPr>
        <w:tab/>
      </w:r>
      <w:r>
        <w:rPr>
          <w:rFonts w:ascii="黑体" w:eastAsia="黑体"/>
          <w:sz w:val="28"/>
          <w:szCs w:val="28"/>
        </w:rPr>
        <w:tab/>
      </w:r>
      <w:r>
        <w:rPr>
          <w:rFonts w:ascii="黑体" w:eastAsia="黑体"/>
          <w:b/>
          <w:bCs/>
          <w:sz w:val="28"/>
          <w:szCs w:val="28"/>
        </w:rPr>
        <w:tab/>
      </w:r>
      <w:r>
        <w:rPr>
          <w:rFonts w:ascii="黑体" w:eastAsia="黑体"/>
          <w:sz w:val="28"/>
          <w:szCs w:val="28"/>
        </w:rPr>
        <w:tab/>
      </w:r>
      <w:r>
        <w:rPr>
          <w:rFonts w:ascii="黑体" w:eastAsia="黑体"/>
          <w:sz w:val="28"/>
          <w:szCs w:val="28"/>
        </w:rPr>
        <w:tab/>
      </w:r>
      <w:r>
        <w:rPr>
          <w:rFonts w:ascii="黑体" w:eastAsia="黑体"/>
          <w:sz w:val="28"/>
          <w:szCs w:val="28"/>
        </w:rPr>
        <w:tab/>
      </w:r>
      <w:r>
        <w:rPr>
          <w:rFonts w:ascii="黑体" w:eastAsia="黑体"/>
          <w:sz w:val="28"/>
          <w:szCs w:val="28"/>
        </w:rPr>
        <w:tab/>
      </w:r>
      <w:r>
        <w:rPr>
          <w:rFonts w:ascii="黑体" w:eastAsia="黑体"/>
          <w:sz w:val="28"/>
          <w:szCs w:val="28"/>
        </w:rPr>
        <w:t>XXXX-XX-XX</w:t>
      </w:r>
      <w:r>
        <w:rPr>
          <w:rFonts w:hint="eastAsia" w:ascii="黑体" w:eastAsia="黑体"/>
          <w:sz w:val="28"/>
          <w:szCs w:val="28"/>
        </w:rPr>
        <w:t>实施</w:t>
      </w:r>
    </w:p>
    <w:p w14:paraId="02E0C4D3">
      <w:pPr>
        <w:jc w:val="center"/>
        <w:rPr>
          <w:rFonts w:ascii="黑体" w:hAnsi="黑体" w:eastAsia="黑体"/>
          <w:sz w:val="28"/>
          <w:szCs w:val="28"/>
        </w:rPr>
      </w:pPr>
      <w:r>
        <w:pict>
          <v:line id="直接连接符 3" o:spid="_x0000_s2114" o:spt="20" style="position:absolute;left:0pt;margin-left:0pt;margin-top:-0.1pt;height:0pt;width:467.7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">
            <v:path arrowok="t"/>
            <v:fill focussize="0,0"/>
            <v:stroke/>
            <v:imagedata o:title=""/>
            <o:lock v:ext="edit"/>
          </v:line>
        </w:pict>
      </w:r>
      <w:r>
        <w:rPr>
          <w:rFonts w:hint="eastAsia" w:ascii="方正小标宋简体" w:eastAsia="方正小标宋简体"/>
          <w:w w:val="120"/>
          <w:sz w:val="44"/>
          <w:szCs w:val="44"/>
        </w:rPr>
        <w:t>安徽省市场监督管理局</w:t>
      </w:r>
      <w:r>
        <w:rPr>
          <w:rFonts w:hint="eastAsia" w:ascii="黑体" w:hAnsi="黑体" w:eastAsia="黑体"/>
          <w:sz w:val="28"/>
          <w:szCs w:val="28"/>
        </w:rPr>
        <w:t>发布</w:t>
      </w:r>
    </w:p>
    <w:tbl>
      <w:tblPr>
        <w:tblStyle w:val="25"/>
        <w:tblW w:w="0" w:type="auto"/>
        <w:tblInd w:w="71"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Layout w:type="fixed"/>
        <w:tblCellMar>
          <w:top w:w="0" w:type="dxa"/>
          <w:left w:w="108" w:type="dxa"/>
          <w:bottom w:w="0" w:type="dxa"/>
          <w:right w:w="108" w:type="dxa"/>
        </w:tblCellMar>
      </w:tblPr>
      <w:tblGrid>
        <w:gridCol w:w="6157"/>
        <w:gridCol w:w="2730"/>
      </w:tblGrid>
      <w:tr w14:paraId="0D2F401E">
        <w:tblPrEx>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top w:w="0" w:type="dxa"/>
            <w:left w:w="108" w:type="dxa"/>
            <w:bottom w:w="0" w:type="dxa"/>
            <w:right w:w="108" w:type="dxa"/>
          </w:tblCellMar>
        </w:tblPrEx>
        <w:trPr>
          <w:cantSplit/>
          <w:trHeight w:val="3401" w:hRule="atLeast"/>
        </w:trPr>
        <w:tc>
          <w:tcPr>
            <w:tcW w:w="6157" w:type="dxa"/>
            <w:tcBorders>
              <w:top w:val="single" w:color="auto" w:sz="8" w:space="0"/>
              <w:left w:val="nil"/>
              <w:bottom w:val="single" w:color="auto" w:sz="8" w:space="0"/>
              <w:right w:val="nil"/>
            </w:tcBorders>
            <w:vAlign w:val="center"/>
          </w:tcPr>
          <w:p w14:paraId="47808A7E">
            <w:pPr>
              <w:snapToGrid w:val="0"/>
              <w:spacing w:line="360" w:lineRule="auto"/>
              <w:jc w:val="center"/>
              <w:rPr>
                <w:rFonts w:ascii="黑体" w:hAnsi="宋体" w:eastAsia="黑体"/>
                <w:color w:val="000000"/>
                <w:sz w:val="44"/>
                <w:szCs w:val="44"/>
              </w:rPr>
            </w:pPr>
            <w:r>
              <w:rPr>
                <w:rFonts w:hint="eastAsia" w:ascii="黑体" w:hAnsi="宋体" w:eastAsia="黑体"/>
                <w:color w:val="000000"/>
                <w:sz w:val="44"/>
                <w:szCs w:val="44"/>
              </w:rPr>
              <w:t>原位压力机校准规范</w:t>
            </w:r>
          </w:p>
          <w:p w14:paraId="695A3BD0">
            <w:pPr>
              <w:spacing w:line="360" w:lineRule="auto"/>
              <w:jc w:val="center"/>
              <w:rPr>
                <w:rFonts w:ascii="黑体" w:hAnsi="黑体" w:eastAsia="黑体"/>
                <w:kern w:val="0"/>
                <w:sz w:val="28"/>
                <w:szCs w:val="28"/>
              </w:rPr>
            </w:pPr>
            <w:r>
              <w:rPr>
                <w:rFonts w:ascii="黑体" w:hAnsi="宋体" w:eastAsia="黑体"/>
                <w:color w:val="000000"/>
                <w:sz w:val="28"/>
                <w:szCs w:val="28"/>
              </w:rPr>
              <w:t>Calibration Specification for</w:t>
            </w:r>
            <w:r>
              <w:rPr>
                <w:rFonts w:hint="eastAsia" w:ascii="黑体" w:hAnsi="宋体" w:eastAsia="黑体"/>
                <w:color w:val="000000"/>
                <w:sz w:val="28"/>
                <w:szCs w:val="28"/>
              </w:rPr>
              <w:t xml:space="preserve"> In Situ Compression Machines</w:t>
            </w:r>
          </w:p>
          <w:p w14:paraId="76601092">
            <w:pPr>
              <w:snapToGrid w:val="0"/>
              <w:spacing w:line="360" w:lineRule="auto"/>
              <w:ind w:firstLine="1120" w:firstLineChars="350"/>
              <w:rPr>
                <w:rFonts w:ascii="宋体" w:hAnsi="宋体"/>
                <w:color w:val="000000"/>
                <w:sz w:val="32"/>
                <w:szCs w:val="32"/>
              </w:rPr>
            </w:pPr>
          </w:p>
        </w:tc>
        <w:tc>
          <w:tcPr>
            <w:tcW w:w="2730" w:type="dxa"/>
            <w:tcBorders>
              <w:top w:val="single" w:color="auto" w:sz="8" w:space="0"/>
              <w:left w:val="nil"/>
              <w:bottom w:val="single" w:color="auto" w:sz="8" w:space="0"/>
              <w:right w:val="nil"/>
            </w:tcBorders>
          </w:tcPr>
          <w:p w14:paraId="4C009E31">
            <w:pPr>
              <w:snapToGrid w:val="0"/>
              <w:spacing w:line="360" w:lineRule="auto"/>
              <w:rPr>
                <w:rFonts w:ascii="宋体" w:hAnsi="宋体"/>
                <w:color w:val="000000"/>
                <w:sz w:val="32"/>
                <w:szCs w:val="32"/>
              </w:rPr>
            </w:pPr>
            <w:r>
              <w:pict>
                <v:shape id="_x0000_s2178" o:spid="_x0000_s2178" o:spt="202" type="#_x0000_t202" style="position:absolute;left:0pt;margin-left:-10.9pt;margin-top:59.5pt;height:33.45pt;width:143.25pt;mso-position-horizontal-relative:page;mso-position-vertical-relative:page;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">
                  <v:path/>
                  <v:fill on="f" focussize="0,0"/>
                  <v:stroke on="f" joinstyle="miter"/>
                  <v:imagedata o:title=""/>
                  <o:lock v:ext="edit"/>
                  <v:textbox>
                    <w:txbxContent>
                      <w:p w14:paraId="76D26393">
                        <w:pPr>
                          <w:jc w:val="center"/>
                          <w:rPr>
                            <w:rFonts w:ascii="黑体" w:hAnsi="黑体" w:eastAsia="黑体"/>
                            <w:sz w:val="28"/>
                            <w:szCs w:val="28"/>
                          </w:rPr>
                        </w:pPr>
                        <w:r>
                          <w:rPr>
                            <w:rStyle w:val="152"/>
                            <w:rFonts w:hint="eastAsia" w:ascii="黑体" w:hAnsi="黑体" w:eastAsia="黑体"/>
                            <w:sz w:val="28"/>
                            <w:szCs w:val="28"/>
                          </w:rPr>
                          <w:t>JJF（皖）</w:t>
                        </w:r>
                        <w:r>
                          <w:rPr>
                            <w:rStyle w:val="152"/>
                            <w:rFonts w:ascii="黑体" w:hAnsi="黑体" w:eastAsia="黑体"/>
                            <w:sz w:val="28"/>
                            <w:szCs w:val="28"/>
                          </w:rPr>
                          <w:t>X</w:t>
                        </w:r>
                        <w:r>
                          <w:rPr>
                            <w:rStyle w:val="152"/>
                            <w:rFonts w:hint="eastAsia" w:ascii="黑体" w:hAnsi="黑体" w:eastAsia="黑体"/>
                            <w:sz w:val="28"/>
                            <w:szCs w:val="28"/>
                          </w:rPr>
                          <w:t>X</w:t>
                        </w:r>
                        <w:r>
                          <w:rPr>
                            <w:rStyle w:val="152"/>
                            <w:rFonts w:ascii="黑体" w:hAnsi="黑体" w:eastAsia="黑体"/>
                            <w:sz w:val="28"/>
                            <w:szCs w:val="28"/>
                          </w:rPr>
                          <w:t>X</w:t>
                        </w:r>
                        <w:r>
                          <w:rPr>
                            <w:rStyle w:val="152"/>
                            <w:rFonts w:hint="eastAsia" w:ascii="黑体" w:hAnsi="黑体" w:eastAsia="黑体"/>
                            <w:sz w:val="28"/>
                            <w:szCs w:val="28"/>
                          </w:rPr>
                          <w:t>X</w:t>
                        </w:r>
                        <w:r>
                          <w:rPr>
                            <w:rStyle w:val="152"/>
                            <w:rFonts w:ascii="黑体" w:hAnsi="黑体" w:eastAsia="黑体"/>
                            <w:sz w:val="28"/>
                            <w:szCs w:val="28"/>
                          </w:rPr>
                          <w:t>—</w:t>
                        </w:r>
                        <w:r>
                          <w:rPr>
                            <w:rStyle w:val="152"/>
                            <w:rFonts w:hint="eastAsia" w:ascii="黑体" w:hAnsi="黑体" w:eastAsia="黑体"/>
                            <w:sz w:val="28"/>
                            <w:szCs w:val="28"/>
                          </w:rPr>
                          <w:t>2024</w:t>
                        </w:r>
                      </w:p>
                    </w:txbxContent>
                  </v:textbox>
                  <w10:anchorlock/>
                </v:shape>
              </w:pict>
            </w:r>
            <w:r>
              <w:rPr>
                <w:rFonts w:ascii="宋体" w:hAnsi="宋体"/>
                <w:color w:val="000000"/>
                <w:sz w:val="32"/>
                <w:szCs w:val="32"/>
              </w:rPr>
              <w:pict>
                <v:shape id="_x0000_s2179" o:spid="_x0000_s2179" o:spt="75" type="#_x0000_t75" style="position:absolute;left:0pt;margin-left:-10.9pt;margin-top:41.2pt;height:75.75pt;width:152.25pt;mso-position-horizontal-relative:page;mso-position-vertical-relative:page;z-index:-251650048;mso-width-relative:page;mso-height-relative:page;" o:ole="t" filled="f" o:preferrelative="t" stroked="f" coordsize="21600,21600">
                  <v:path/>
                  <v:fill on="f" focussize="0,0"/>
                  <v:stroke on="f" joinstyle="miter"/>
                  <v:imagedata r:id="rId10" o:title=""/>
                  <o:lock v:ext="edit" aspectratio="f"/>
                  <w10:anchorlock/>
                </v:shape>
                <o:OLEObject Type="Embed" ProgID="Visio.Drawing.11" ShapeID="_x0000_s2179" DrawAspect="Content" ObjectID="_1468075725" r:id="rId9">
                  <o:LockedField>false</o:LockedField>
                </o:OLEObject>
              </w:pict>
            </w:r>
          </w:p>
        </w:tc>
      </w:tr>
    </w:tbl>
    <w:p w14:paraId="479EA23B">
      <w:pPr>
        <w:snapToGrid w:val="0"/>
        <w:spacing w:line="360" w:lineRule="auto"/>
        <w:rPr>
          <w:rFonts w:ascii="宋体" w:hAnsi="宋体"/>
          <w:b/>
          <w:color w:val="000000"/>
        </w:rPr>
      </w:pPr>
    </w:p>
    <w:p w14:paraId="71FFFFD3">
      <w:pPr>
        <w:snapToGrid w:val="0"/>
        <w:spacing w:line="360" w:lineRule="auto"/>
        <w:rPr>
          <w:rFonts w:ascii="宋体" w:hAnsi="宋体"/>
          <w:color w:val="000000"/>
          <w:sz w:val="24"/>
        </w:rPr>
      </w:pPr>
    </w:p>
    <w:p w14:paraId="415F422C">
      <w:pPr>
        <w:snapToGrid w:val="0"/>
        <w:spacing w:line="360" w:lineRule="auto"/>
        <w:rPr>
          <w:rFonts w:ascii="宋体" w:hAnsi="宋体"/>
          <w:color w:val="000000"/>
        </w:rPr>
      </w:pPr>
    </w:p>
    <w:p w14:paraId="2C1F0F14">
      <w:pPr>
        <w:pStyle w:val="3"/>
        <w:snapToGrid w:val="0"/>
        <w:spacing w:line="360" w:lineRule="auto"/>
        <w:ind w:firstLine="0"/>
        <w:rPr>
          <w:rFonts w:ascii="宋体" w:hAnsi="宋体"/>
          <w:color w:val="000000"/>
        </w:rPr>
      </w:pPr>
    </w:p>
    <w:p w14:paraId="063D3DE0">
      <w:pPr>
        <w:pStyle w:val="3"/>
        <w:snapToGrid w:val="0"/>
        <w:spacing w:line="360" w:lineRule="auto"/>
        <w:ind w:firstLine="0"/>
        <w:rPr>
          <w:rFonts w:ascii="宋体" w:hAnsi="宋体"/>
          <w:color w:val="000000"/>
        </w:rPr>
      </w:pPr>
    </w:p>
    <w:p w14:paraId="580C8F79">
      <w:pPr>
        <w:pStyle w:val="3"/>
        <w:snapToGrid w:val="0"/>
        <w:spacing w:line="360" w:lineRule="auto"/>
        <w:ind w:firstLine="0"/>
        <w:rPr>
          <w:rFonts w:ascii="宋体" w:hAnsi="宋体"/>
          <w:color w:val="000000"/>
        </w:rPr>
      </w:pPr>
    </w:p>
    <w:p w14:paraId="6633CA1D">
      <w:pPr>
        <w:pStyle w:val="3"/>
        <w:snapToGrid w:val="0"/>
        <w:spacing w:line="360" w:lineRule="auto"/>
        <w:ind w:firstLine="0"/>
        <w:rPr>
          <w:rFonts w:ascii="宋体" w:hAnsi="宋体"/>
          <w:color w:val="000000"/>
        </w:rPr>
      </w:pPr>
    </w:p>
    <w:p w14:paraId="210BF3EE">
      <w:pPr>
        <w:pStyle w:val="3"/>
        <w:snapToGrid w:val="0"/>
        <w:spacing w:line="360" w:lineRule="auto"/>
        <w:ind w:firstLine="0"/>
        <w:rPr>
          <w:rFonts w:ascii="宋体" w:hAnsi="宋体"/>
          <w:color w:val="000000"/>
        </w:rPr>
      </w:pPr>
    </w:p>
    <w:p w14:paraId="2B1A1F3D">
      <w:pPr>
        <w:snapToGrid w:val="0"/>
        <w:spacing w:line="360" w:lineRule="auto"/>
        <w:rPr>
          <w:rFonts w:ascii="宋体" w:hAnsi="宋体"/>
          <w:color w:val="000000"/>
        </w:rPr>
      </w:pPr>
    </w:p>
    <w:p w14:paraId="09711B03">
      <w:pPr>
        <w:snapToGrid w:val="0"/>
        <w:spacing w:line="360" w:lineRule="auto"/>
        <w:ind w:left="57" w:leftChars="27" w:firstLine="879" w:firstLineChars="300"/>
        <w:rPr>
          <w:rFonts w:ascii="黑体" w:hAnsi="宋体" w:eastAsia="黑体"/>
          <w:b/>
          <w:color w:val="000000"/>
          <w:sz w:val="28"/>
          <w:szCs w:val="28"/>
        </w:rPr>
      </w:pPr>
      <w:r>
        <w:rPr>
          <w:rFonts w:hint="eastAsia" w:ascii="黑体" w:hAnsi="宋体" w:eastAsia="黑体"/>
          <w:b/>
          <w:color w:val="000000"/>
          <w:spacing w:val="6"/>
          <w:sz w:val="28"/>
          <w:szCs w:val="28"/>
        </w:rPr>
        <w:t>归 口 单 位</w:t>
      </w:r>
      <w:r>
        <w:rPr>
          <w:rFonts w:hint="eastAsia" w:ascii="黑体" w:hAnsi="宋体" w:eastAsia="黑体"/>
          <w:b/>
          <w:color w:val="000000"/>
          <w:sz w:val="28"/>
          <w:szCs w:val="28"/>
        </w:rPr>
        <w:t>：</w:t>
      </w:r>
      <w:r>
        <w:rPr>
          <w:rFonts w:hint="eastAsia" w:ascii="黑体" w:hAnsi="宋体" w:eastAsia="黑体"/>
          <w:color w:val="000000"/>
          <w:sz w:val="28"/>
          <w:szCs w:val="28"/>
        </w:rPr>
        <w:t>安徽省力值计量技术委员会</w:t>
      </w:r>
    </w:p>
    <w:p w14:paraId="23047A2F">
      <w:pPr>
        <w:snapToGrid w:val="0"/>
        <w:spacing w:line="360" w:lineRule="auto"/>
        <w:ind w:left="57" w:leftChars="27" w:firstLine="843" w:firstLineChars="300"/>
        <w:rPr>
          <w:rFonts w:ascii="黑体" w:hAnsi="宋体" w:eastAsia="黑体"/>
          <w:color w:val="000000"/>
          <w:sz w:val="28"/>
          <w:szCs w:val="28"/>
        </w:rPr>
      </w:pPr>
      <w:r>
        <w:rPr>
          <w:rFonts w:hint="eastAsia" w:ascii="黑体" w:hAnsi="宋体" w:eastAsia="黑体"/>
          <w:b/>
          <w:color w:val="000000"/>
          <w:sz w:val="28"/>
          <w:szCs w:val="28"/>
        </w:rPr>
        <w:t>主要起草单位：</w:t>
      </w:r>
      <w:r>
        <w:rPr>
          <w:rFonts w:hint="eastAsia" w:ascii="黑体" w:hAnsi="宋体" w:eastAsia="黑体"/>
          <w:color w:val="000000"/>
          <w:sz w:val="28"/>
          <w:szCs w:val="28"/>
        </w:rPr>
        <w:t>芜湖市计量科学研究院</w:t>
      </w:r>
    </w:p>
    <w:p w14:paraId="2EF28A72">
      <w:pPr>
        <w:snapToGrid w:val="0"/>
        <w:spacing w:line="360" w:lineRule="auto"/>
        <w:ind w:left="57" w:leftChars="27" w:firstLine="2800" w:firstLineChars="1000"/>
        <w:rPr>
          <w:rFonts w:ascii="黑体" w:hAnsi="宋体" w:eastAsia="黑体"/>
          <w:color w:val="000000"/>
          <w:sz w:val="28"/>
          <w:szCs w:val="28"/>
        </w:rPr>
      </w:pPr>
      <w:r>
        <w:rPr>
          <w:rFonts w:hint="eastAsia" w:ascii="黑体" w:hAnsi="宋体" w:eastAsia="黑体"/>
          <w:color w:val="000000"/>
          <w:sz w:val="28"/>
          <w:szCs w:val="28"/>
        </w:rPr>
        <w:t>安徽省计量科学研究院</w:t>
      </w:r>
    </w:p>
    <w:p w14:paraId="598D735E">
      <w:pPr>
        <w:snapToGrid w:val="0"/>
        <w:spacing w:line="360" w:lineRule="auto"/>
        <w:ind w:left="57" w:leftChars="27" w:firstLine="2786" w:firstLineChars="995"/>
        <w:rPr>
          <w:rFonts w:ascii="黑体" w:hAnsi="宋体" w:eastAsia="黑体"/>
          <w:b/>
          <w:color w:val="000000"/>
          <w:sz w:val="28"/>
          <w:szCs w:val="28"/>
        </w:rPr>
      </w:pPr>
      <w:r>
        <w:rPr>
          <w:rFonts w:hint="eastAsia" w:ascii="黑体" w:hAnsi="宋体" w:eastAsia="黑体"/>
          <w:color w:val="000000"/>
          <w:sz w:val="28"/>
          <w:szCs w:val="28"/>
        </w:rPr>
        <w:t>铜陵市计量测试研究所</w:t>
      </w:r>
    </w:p>
    <w:p w14:paraId="0BBE811E">
      <w:pPr>
        <w:snapToGrid w:val="0"/>
        <w:spacing w:line="360" w:lineRule="auto"/>
        <w:ind w:left="57" w:leftChars="27" w:firstLine="2800" w:firstLineChars="1000"/>
        <w:rPr>
          <w:rFonts w:ascii="黑体" w:hAnsi="宋体" w:eastAsia="黑体"/>
          <w:b/>
          <w:color w:val="000000"/>
          <w:sz w:val="28"/>
          <w:szCs w:val="28"/>
        </w:rPr>
      </w:pPr>
      <w:r>
        <w:rPr>
          <w:rFonts w:hint="eastAsia" w:ascii="黑体" w:hAnsi="宋体" w:eastAsia="黑体"/>
          <w:color w:val="000000"/>
          <w:sz w:val="28"/>
          <w:szCs w:val="28"/>
        </w:rPr>
        <w:t>奇瑞汽车股份有限公司</w:t>
      </w:r>
    </w:p>
    <w:p w14:paraId="08A4331A">
      <w:pPr>
        <w:snapToGrid w:val="0"/>
        <w:spacing w:line="360" w:lineRule="auto"/>
        <w:ind w:left="57" w:leftChars="27" w:firstLine="843" w:firstLineChars="300"/>
        <w:rPr>
          <w:rFonts w:ascii="黑体" w:hAnsi="宋体" w:eastAsia="黑体"/>
          <w:b/>
          <w:color w:val="000000"/>
          <w:sz w:val="28"/>
          <w:szCs w:val="28"/>
        </w:rPr>
      </w:pPr>
    </w:p>
    <w:p w14:paraId="56D33841">
      <w:pPr>
        <w:snapToGrid w:val="0"/>
        <w:spacing w:line="360" w:lineRule="auto"/>
        <w:ind w:left="-2" w:leftChars="-1" w:firstLine="86" w:firstLineChars="31"/>
        <w:rPr>
          <w:rFonts w:ascii="宋体" w:hAnsi="宋体"/>
          <w:color w:val="000000"/>
          <w:sz w:val="28"/>
          <w:szCs w:val="28"/>
        </w:rPr>
      </w:pPr>
    </w:p>
    <w:p w14:paraId="52A51809">
      <w:pPr>
        <w:snapToGrid w:val="0"/>
        <w:spacing w:line="360" w:lineRule="auto"/>
        <w:ind w:left="177" w:leftChars="-1" w:hanging="179"/>
        <w:rPr>
          <w:rFonts w:ascii="宋体" w:hAnsi="宋体"/>
          <w:color w:val="000000"/>
          <w:sz w:val="28"/>
        </w:rPr>
      </w:pPr>
      <w:r>
        <w:pict>
          <v:rect id="矩形 101" o:spid="_x0000_s2177" o:spt="1" style="position:absolute;left:0pt;margin-left:189pt;margin-top:152.4pt;height:39pt;width:72pt;z-index:25166438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">
            <v:path/>
            <v:fill focussize="0,0"/>
            <v:stroke on="f"/>
            <v:imagedata o:title=""/>
            <o:lock v:ext="edit"/>
          </v:rect>
        </w:pict>
      </w:r>
    </w:p>
    <w:p w14:paraId="49B97A72">
      <w:pPr>
        <w:snapToGrid w:val="0"/>
        <w:ind w:firstLine="840" w:firstLineChars="300"/>
        <w:jc w:val="center"/>
        <w:rPr>
          <w:rFonts w:ascii="黑体" w:hAnsi="宋体" w:eastAsia="黑体"/>
          <w:color w:val="000000"/>
          <w:sz w:val="28"/>
          <w:szCs w:val="28"/>
        </w:rPr>
      </w:pPr>
    </w:p>
    <w:p w14:paraId="4A3A8148">
      <w:pPr>
        <w:jc w:val="center"/>
        <w:rPr>
          <w:rFonts w:ascii="宋体" w:hAnsi="宋体"/>
          <w:color w:val="000000"/>
          <w:sz w:val="28"/>
          <w:szCs w:val="28"/>
        </w:rPr>
      </w:pPr>
      <w:r>
        <w:rPr>
          <w:rFonts w:hint="eastAsia" w:ascii="宋体" w:hAnsi="宋体"/>
          <w:color w:val="000000"/>
          <w:sz w:val="28"/>
          <w:szCs w:val="28"/>
        </w:rPr>
        <w:t>本规范委托安徽省力值计量技术委员会负责解释</w:t>
      </w:r>
      <w:r>
        <w:rPr>
          <w:rFonts w:ascii="宋体" w:hAnsi="宋体"/>
          <w:color w:val="000000"/>
          <w:sz w:val="28"/>
          <w:szCs w:val="28"/>
        </w:rPr>
        <w:br w:type="page"/>
      </w:r>
    </w:p>
    <w:p w14:paraId="2973315D">
      <w:pPr>
        <w:snapToGrid w:val="0"/>
        <w:jc w:val="center"/>
        <w:rPr>
          <w:rFonts w:ascii="宋体" w:hAnsi="宋体"/>
          <w:color w:val="000000"/>
          <w:sz w:val="28"/>
          <w:szCs w:val="28"/>
        </w:rPr>
        <w:sectPr>
          <w:headerReference r:id="rId3" w:type="default"/>
          <w:pgSz w:w="11906" w:h="16838"/>
          <w:pgMar w:top="1418" w:right="1418" w:bottom="1418" w:left="1418" w:header="851" w:footer="992" w:gutter="0"/>
          <w:pgNumType w:fmt="upperRoman" w:start="1"/>
          <w:cols w:space="720" w:num="1"/>
          <w:docGrid w:type="lines" w:linePitch="312" w:charSpace="0"/>
        </w:sectPr>
      </w:pPr>
    </w:p>
    <w:p w14:paraId="58EF952D">
      <w:pPr>
        <w:spacing w:line="360" w:lineRule="auto"/>
        <w:jc w:val="left"/>
        <w:rPr>
          <w:rFonts w:ascii="黑体" w:hAnsi="宋体" w:eastAsia="黑体"/>
          <w:b/>
          <w:color w:val="000000"/>
          <w:sz w:val="28"/>
          <w:szCs w:val="28"/>
        </w:rPr>
      </w:pPr>
      <w:r>
        <w:rPr>
          <w:rFonts w:hint="eastAsia" w:ascii="黑体" w:hAnsi="宋体" w:eastAsia="黑体"/>
          <w:b/>
          <w:color w:val="000000"/>
          <w:sz w:val="28"/>
          <w:szCs w:val="28"/>
        </w:rPr>
        <w:t>本规范主要起草人：</w:t>
      </w:r>
    </w:p>
    <w:p w14:paraId="6C6BB1CB">
      <w:pPr>
        <w:spacing w:line="360" w:lineRule="auto"/>
        <w:ind w:firstLine="1377" w:firstLineChars="492"/>
        <w:jc w:val="left"/>
        <w:rPr>
          <w:rFonts w:ascii="黑体" w:hAnsi="宋体" w:eastAsia="黑体"/>
          <w:b/>
          <w:color w:val="000000"/>
          <w:sz w:val="28"/>
          <w:szCs w:val="28"/>
        </w:rPr>
      </w:pPr>
      <w:r>
        <w:rPr>
          <w:rFonts w:hint="eastAsia"/>
          <w:sz w:val="28"/>
          <w:szCs w:val="28"/>
        </w:rPr>
        <w:t>王  喆（芜湖市计量科学研究院）</w:t>
      </w:r>
    </w:p>
    <w:p w14:paraId="4B35B0B7">
      <w:pPr>
        <w:spacing w:line="360" w:lineRule="auto"/>
        <w:ind w:firstLine="1400" w:firstLineChars="500"/>
        <w:rPr>
          <w:sz w:val="28"/>
          <w:szCs w:val="28"/>
        </w:rPr>
      </w:pPr>
      <w:r>
        <w:rPr>
          <w:rFonts w:hint="eastAsia"/>
          <w:sz w:val="28"/>
          <w:szCs w:val="28"/>
        </w:rPr>
        <w:t>高海青（安徽省计量科学研究院）</w:t>
      </w:r>
    </w:p>
    <w:p w14:paraId="6F7279D9">
      <w:pPr>
        <w:spacing w:line="360" w:lineRule="auto"/>
        <w:ind w:firstLine="1400" w:firstLineChars="500"/>
        <w:rPr>
          <w:sz w:val="28"/>
          <w:szCs w:val="28"/>
        </w:rPr>
      </w:pPr>
      <w:r>
        <w:rPr>
          <w:rFonts w:hint="eastAsia"/>
          <w:sz w:val="28"/>
          <w:szCs w:val="28"/>
        </w:rPr>
        <w:t>胡承志（芜湖市计量科学研究院）</w:t>
      </w:r>
    </w:p>
    <w:p w14:paraId="0B99EDEE">
      <w:pPr>
        <w:ind w:firstLine="1400" w:firstLineChars="500"/>
        <w:rPr>
          <w:rFonts w:ascii="宋体" w:hAnsi="宋体"/>
          <w:sz w:val="28"/>
        </w:rPr>
      </w:pPr>
      <w:r>
        <w:rPr>
          <w:rFonts w:hint="eastAsia"/>
          <w:sz w:val="28"/>
          <w:szCs w:val="28"/>
        </w:rPr>
        <w:t>翟  郢（</w:t>
      </w:r>
      <w:r>
        <w:rPr>
          <w:rFonts w:hint="eastAsia" w:ascii="宋体" w:hAnsi="宋体"/>
          <w:sz w:val="28"/>
        </w:rPr>
        <w:t>奇瑞汽车股份有限公司）</w:t>
      </w:r>
    </w:p>
    <w:p w14:paraId="141E1C56">
      <w:pPr>
        <w:ind w:firstLine="1400" w:firstLineChars="500"/>
        <w:rPr>
          <w:rFonts w:ascii="宋体" w:hAnsi="宋体" w:eastAsia="黑体"/>
          <w:sz w:val="28"/>
        </w:rPr>
      </w:pPr>
      <w:r>
        <w:rPr>
          <w:rFonts w:hint="eastAsia" w:ascii="宋体" w:hAnsi="宋体"/>
          <w:sz w:val="28"/>
        </w:rPr>
        <w:t>翟梦颖（南陵县市场监督检验所）</w:t>
      </w:r>
    </w:p>
    <w:p w14:paraId="6E12D68C">
      <w:pPr>
        <w:spacing w:line="360" w:lineRule="auto"/>
        <w:ind w:right="480" w:firstLine="829" w:firstLineChars="295"/>
        <w:rPr>
          <w:rFonts w:ascii="黑体" w:hAnsi="宋体" w:eastAsia="黑体"/>
          <w:b/>
          <w:color w:val="000000"/>
          <w:sz w:val="28"/>
          <w:szCs w:val="28"/>
        </w:rPr>
      </w:pPr>
      <w:r>
        <w:rPr>
          <w:rFonts w:hint="eastAsia" w:ascii="黑体" w:hAnsi="宋体" w:eastAsia="黑体"/>
          <w:b/>
          <w:color w:val="000000"/>
          <w:sz w:val="28"/>
          <w:szCs w:val="28"/>
        </w:rPr>
        <w:t>参加起草人：</w:t>
      </w:r>
    </w:p>
    <w:p w14:paraId="4389A8C0">
      <w:pPr>
        <w:spacing w:line="360" w:lineRule="auto"/>
        <w:ind w:right="480" w:firstLine="1400" w:firstLineChars="500"/>
        <w:rPr>
          <w:sz w:val="28"/>
          <w:szCs w:val="28"/>
        </w:rPr>
      </w:pPr>
      <w:r>
        <w:rPr>
          <w:rFonts w:hint="eastAsia"/>
          <w:sz w:val="28"/>
          <w:szCs w:val="28"/>
        </w:rPr>
        <w:t>吴</w:t>
      </w:r>
      <w:r>
        <w:rPr>
          <w:sz w:val="28"/>
          <w:szCs w:val="28"/>
        </w:rPr>
        <w:t>保华</w:t>
      </w:r>
      <w:r>
        <w:rPr>
          <w:rFonts w:hint="eastAsia"/>
          <w:sz w:val="28"/>
          <w:szCs w:val="28"/>
        </w:rPr>
        <w:t>（芜湖市计量科学研究院）</w:t>
      </w:r>
    </w:p>
    <w:p w14:paraId="67382080">
      <w:pPr>
        <w:spacing w:line="360" w:lineRule="auto"/>
        <w:ind w:right="480" w:firstLine="1400" w:firstLineChars="500"/>
        <w:rPr>
          <w:sz w:val="28"/>
          <w:szCs w:val="28"/>
        </w:rPr>
      </w:pPr>
      <w:r>
        <w:rPr>
          <w:rFonts w:hint="eastAsia"/>
          <w:sz w:val="28"/>
          <w:szCs w:val="28"/>
        </w:rPr>
        <w:t>赵  睿（芜湖市计量科学研究院）</w:t>
      </w:r>
    </w:p>
    <w:p w14:paraId="5FD5B2C4">
      <w:pPr>
        <w:spacing w:line="360" w:lineRule="auto"/>
        <w:ind w:firstLine="1400" w:firstLineChars="500"/>
        <w:rPr>
          <w:sz w:val="28"/>
          <w:szCs w:val="28"/>
        </w:rPr>
      </w:pPr>
      <w:r>
        <w:rPr>
          <w:rFonts w:hint="eastAsia"/>
          <w:sz w:val="28"/>
          <w:szCs w:val="28"/>
        </w:rPr>
        <w:t>程  亮（铜陵市计量测试研究所）</w:t>
      </w:r>
    </w:p>
    <w:p w14:paraId="317FB688">
      <w:pPr>
        <w:spacing w:line="360" w:lineRule="auto"/>
        <w:ind w:firstLine="4060" w:firstLineChars="1450"/>
        <w:rPr>
          <w:sz w:val="28"/>
          <w:szCs w:val="28"/>
        </w:rPr>
      </w:pPr>
    </w:p>
    <w:p w14:paraId="7F1F8DE4">
      <w:pPr>
        <w:spacing w:line="360" w:lineRule="auto"/>
        <w:ind w:firstLine="4060" w:firstLineChars="1450"/>
        <w:rPr>
          <w:sz w:val="28"/>
          <w:szCs w:val="28"/>
        </w:rPr>
        <w:sectPr>
          <w:headerReference r:id="rId4" w:type="default"/>
          <w:footerReference r:id="rId5" w:type="default"/>
          <w:pgSz w:w="11906" w:h="16838"/>
          <w:pgMar w:top="567" w:right="1134" w:bottom="1134" w:left="1418" w:header="1418" w:footer="1134" w:gutter="0"/>
          <w:pgNumType w:fmt="upperRoman" w:start="1"/>
          <w:cols w:space="720" w:num="1"/>
          <w:formProt w:val="0"/>
          <w:docGrid w:type="lines" w:linePitch="312" w:charSpace="0"/>
        </w:sectPr>
      </w:pPr>
    </w:p>
    <w:p w14:paraId="22046E42">
      <w:pPr>
        <w:pStyle w:val="59"/>
        <w:rPr>
          <w:sz w:val="44"/>
          <w:szCs w:val="44"/>
        </w:rPr>
      </w:pPr>
      <w:bookmarkStart w:id="2" w:name="_Toc99349835"/>
      <w:r>
        <w:rPr>
          <w:rFonts w:hint="eastAsia"/>
          <w:sz w:val="44"/>
          <w:szCs w:val="44"/>
        </w:rPr>
        <w:t>目</w:t>
      </w:r>
      <w:bookmarkStart w:id="3" w:name="BKML"/>
      <w:r>
        <w:rPr>
          <w:rFonts w:hAnsi="黑体"/>
          <w:sz w:val="44"/>
          <w:szCs w:val="44"/>
        </w:rPr>
        <w:t>  </w:t>
      </w:r>
      <w:bookmarkEnd w:id="3"/>
      <w:r>
        <w:rPr>
          <w:rFonts w:hint="eastAsia"/>
          <w:sz w:val="44"/>
          <w:szCs w:val="44"/>
        </w:rPr>
        <w:t>录</w:t>
      </w:r>
    </w:p>
    <w:p w14:paraId="07426288">
      <w:pPr>
        <w:pStyle w:val="42"/>
        <w:spacing w:before="78" w:after="78"/>
        <w:rPr>
          <w:rStyle w:val="30"/>
        </w:rPr>
      </w:pPr>
      <w:r>
        <w:fldChar w:fldCharType="begin" w:fldLock="1"/>
      </w:r>
      <w:r>
        <w:rPr>
          <w:rFonts w:hint="eastAsia"/>
        </w:rPr>
        <w:instrText xml:space="preserve">TOC \h \z \t"前言、引言标题,1,参考文献、索引标题,1,章标题,1,参考文献,1,附录标识,1" \* MERGEFORMAT</w:instrText>
      </w:r>
      <w:r>
        <w:fldChar w:fldCharType="separate"/>
      </w:r>
      <w:r>
        <w:fldChar w:fldCharType="begin"/>
      </w:r>
      <w:r>
        <w:instrText xml:space="preserve"> HYPERLINK \l "_Toc110246348" </w:instrText>
      </w:r>
      <w:r>
        <w:fldChar w:fldCharType="separate"/>
      </w:r>
      <w:r>
        <w:rPr>
          <w:rStyle w:val="30"/>
          <w:rFonts w:hint="eastAsia"/>
        </w:rPr>
        <w:t>引  言</w:t>
      </w:r>
      <w:r>
        <w:rPr>
          <w:rStyle w:val="30"/>
        </w:rPr>
        <w:tab/>
      </w:r>
      <w:r>
        <w:rPr>
          <w:rStyle w:val="30"/>
        </w:rPr>
        <w:fldChar w:fldCharType="begin" w:fldLock="1"/>
      </w:r>
      <w:r>
        <w:rPr>
          <w:rStyle w:val="30"/>
        </w:rPr>
        <w:instrText xml:space="preserve"> PAGEREF _Toc110246348 \h </w:instrText>
      </w:r>
      <w:r>
        <w:rPr>
          <w:rStyle w:val="30"/>
        </w:rPr>
        <w:fldChar w:fldCharType="separate"/>
      </w:r>
      <w:r>
        <w:rPr>
          <w:rStyle w:val="30"/>
        </w:rPr>
        <w:t>II</w:t>
      </w:r>
      <w:r>
        <w:rPr>
          <w:rStyle w:val="30"/>
        </w:rPr>
        <w:fldChar w:fldCharType="end"/>
      </w:r>
      <w:r>
        <w:rPr>
          <w:rStyle w:val="30"/>
        </w:rPr>
        <w:fldChar w:fldCharType="end"/>
      </w:r>
    </w:p>
    <w:p w14:paraId="575F6864">
      <w:pPr>
        <w:pStyle w:val="42"/>
        <w:spacing w:before="78" w:after="78"/>
        <w:rPr>
          <w:rFonts w:ascii="Times New Roman" w:cs="Times New Roman"/>
          <w:szCs w:val="24"/>
        </w:rPr>
      </w:pPr>
      <w:r>
        <w:fldChar w:fldCharType="begin"/>
      </w:r>
      <w:r>
        <w:instrText xml:space="preserve"> HYPERLINK \l "_Toc110246349" </w:instrText>
      </w:r>
      <w:r>
        <w:fldChar w:fldCharType="separate"/>
      </w:r>
      <w:r>
        <w:rPr>
          <w:rStyle w:val="30"/>
        </w:rPr>
        <w:t>1</w:t>
      </w:r>
      <w:r>
        <w:rPr>
          <w:rStyle w:val="30"/>
          <w:rFonts w:hint="eastAsia"/>
        </w:rPr>
        <w:t>　范围</w:t>
      </w:r>
      <w:r>
        <w:tab/>
      </w:r>
      <w:r>
        <w:fldChar w:fldCharType="end"/>
      </w:r>
      <w:r>
        <w:rPr>
          <w:rFonts w:hint="eastAsia"/>
        </w:rPr>
        <w:t>（1）</w:t>
      </w:r>
    </w:p>
    <w:p w14:paraId="5279FF17">
      <w:pPr>
        <w:pStyle w:val="42"/>
        <w:spacing w:before="78" w:after="78"/>
        <w:rPr>
          <w:rFonts w:ascii="Times New Roman" w:cs="Times New Roman"/>
          <w:szCs w:val="24"/>
        </w:rPr>
      </w:pPr>
      <w:r>
        <w:fldChar w:fldCharType="begin"/>
      </w:r>
      <w:r>
        <w:instrText xml:space="preserve"> HYPERLINK \l "_Toc110246350" </w:instrText>
      </w:r>
      <w:r>
        <w:fldChar w:fldCharType="separate"/>
      </w:r>
      <w:r>
        <w:rPr>
          <w:rStyle w:val="30"/>
        </w:rPr>
        <w:t>2</w:t>
      </w:r>
      <w:r>
        <w:rPr>
          <w:rStyle w:val="30"/>
          <w:rFonts w:hint="eastAsia"/>
        </w:rPr>
        <w:t>　引用文件</w:t>
      </w:r>
      <w:r>
        <w:tab/>
      </w:r>
      <w:r>
        <w:fldChar w:fldCharType="end"/>
      </w:r>
      <w:r>
        <w:rPr>
          <w:rFonts w:hint="eastAsia"/>
        </w:rPr>
        <w:t>（1）</w:t>
      </w:r>
    </w:p>
    <w:p w14:paraId="222EEC6C">
      <w:pPr>
        <w:pStyle w:val="42"/>
        <w:spacing w:before="78" w:after="78"/>
      </w:pPr>
      <w:bookmarkStart w:id="4" w:name="_Hlk182938643"/>
      <w:r>
        <w:fldChar w:fldCharType="begin"/>
      </w:r>
      <w:r>
        <w:instrText xml:space="preserve">HYPERLINK \l "_Toc110246351"</w:instrText>
      </w:r>
      <w:r>
        <w:fldChar w:fldCharType="separate"/>
      </w:r>
      <w:r>
        <w:rPr>
          <w:rStyle w:val="30"/>
        </w:rPr>
        <w:t>3</w:t>
      </w:r>
      <w:r>
        <w:rPr>
          <w:rStyle w:val="30"/>
          <w:rFonts w:hint="eastAsia"/>
        </w:rPr>
        <w:t>　术语和定义</w:t>
      </w:r>
      <w:r>
        <w:tab/>
      </w:r>
      <w:r>
        <w:fldChar w:fldCharType="end"/>
      </w:r>
      <w:r>
        <w:rPr>
          <w:rFonts w:hint="eastAsia"/>
        </w:rPr>
        <w:t>（1）</w:t>
      </w:r>
      <w:bookmarkEnd w:id="4"/>
    </w:p>
    <w:p w14:paraId="6CCFF391">
      <w:pPr>
        <w:pStyle w:val="42"/>
        <w:spacing w:before="78" w:after="78"/>
      </w:pPr>
      <w:r>
        <w:fldChar w:fldCharType="begin"/>
      </w:r>
      <w:r>
        <w:instrText xml:space="preserve"> HYPERLINK \l "_Toc110246351" </w:instrText>
      </w:r>
      <w:r>
        <w:fldChar w:fldCharType="separate"/>
      </w:r>
      <w:r>
        <w:rPr>
          <w:rStyle w:val="30"/>
        </w:rPr>
        <w:t>3</w:t>
      </w:r>
      <w:r>
        <w:rPr>
          <w:rStyle w:val="30"/>
          <w:rFonts w:hint="eastAsia"/>
        </w:rPr>
        <w:t>.1　内泄露</w:t>
      </w:r>
      <w:r>
        <w:tab/>
      </w:r>
      <w:r>
        <w:fldChar w:fldCharType="end"/>
      </w:r>
      <w:r>
        <w:rPr>
          <w:rFonts w:hint="eastAsia"/>
        </w:rPr>
        <w:t>（1）</w:t>
      </w:r>
    </w:p>
    <w:p w14:paraId="05089BE3">
      <w:pPr>
        <w:pStyle w:val="42"/>
        <w:spacing w:before="78" w:after="78"/>
      </w:pPr>
      <w:r>
        <w:fldChar w:fldCharType="begin"/>
      </w:r>
      <w:r>
        <w:instrText xml:space="preserve"> HYPERLINK \l "_Toc110246351" </w:instrText>
      </w:r>
      <w:r>
        <w:fldChar w:fldCharType="separate"/>
      </w:r>
      <w:r>
        <w:rPr>
          <w:rStyle w:val="30"/>
        </w:rPr>
        <w:t>3</w:t>
      </w:r>
      <w:r>
        <w:rPr>
          <w:rStyle w:val="30"/>
          <w:rFonts w:hint="eastAsia"/>
        </w:rPr>
        <w:t>.2　行程</w:t>
      </w:r>
      <w:r>
        <w:tab/>
      </w:r>
      <w:r>
        <w:fldChar w:fldCharType="end"/>
      </w:r>
      <w:r>
        <w:rPr>
          <w:rFonts w:hint="eastAsia"/>
        </w:rPr>
        <w:t>（1）</w:t>
      </w:r>
    </w:p>
    <w:p w14:paraId="5A55217F">
      <w:pPr>
        <w:pStyle w:val="42"/>
        <w:spacing w:before="78" w:after="78"/>
      </w:pPr>
      <w:r>
        <w:fldChar w:fldCharType="begin"/>
      </w:r>
      <w:r>
        <w:instrText xml:space="preserve"> HYPERLINK \l "_Toc110246351" </w:instrText>
      </w:r>
      <w:r>
        <w:fldChar w:fldCharType="separate"/>
      </w:r>
      <w:r>
        <w:rPr>
          <w:rStyle w:val="30"/>
        </w:rPr>
        <w:t>3</w:t>
      </w:r>
      <w:r>
        <w:rPr>
          <w:rStyle w:val="30"/>
          <w:rFonts w:hint="eastAsia"/>
        </w:rPr>
        <w:t>.3　校准方程</w:t>
      </w:r>
      <w:r>
        <w:tab/>
      </w:r>
      <w:r>
        <w:fldChar w:fldCharType="end"/>
      </w:r>
      <w:r>
        <w:rPr>
          <w:rFonts w:hint="eastAsia"/>
        </w:rPr>
        <w:t>（1）</w:t>
      </w:r>
    </w:p>
    <w:p w14:paraId="59EB6428">
      <w:pPr>
        <w:pStyle w:val="42"/>
        <w:spacing w:before="78" w:after="78"/>
        <w:rPr>
          <w:rFonts w:ascii="Times New Roman" w:cs="Times New Roman"/>
          <w:szCs w:val="24"/>
        </w:rPr>
      </w:pPr>
      <w:r>
        <w:fldChar w:fldCharType="begin"/>
      </w:r>
      <w:r>
        <w:instrText xml:space="preserve"> HYPERLINK \l "_Toc110246352" </w:instrText>
      </w:r>
      <w:r>
        <w:fldChar w:fldCharType="separate"/>
      </w:r>
      <w:r>
        <w:rPr>
          <w:rStyle w:val="30"/>
        </w:rPr>
        <w:t>4</w:t>
      </w:r>
      <w:r>
        <w:rPr>
          <w:rStyle w:val="30"/>
          <w:rFonts w:hint="eastAsia"/>
        </w:rPr>
        <w:t>　概述</w:t>
      </w:r>
      <w:r>
        <w:tab/>
      </w:r>
      <w:r>
        <w:fldChar w:fldCharType="end"/>
      </w:r>
      <w:r>
        <w:rPr>
          <w:rFonts w:hint="eastAsia"/>
        </w:rPr>
        <w:t>（1）</w:t>
      </w:r>
    </w:p>
    <w:p w14:paraId="61C2528D">
      <w:pPr>
        <w:pStyle w:val="42"/>
        <w:spacing w:before="78" w:after="78"/>
      </w:pPr>
      <w:r>
        <w:fldChar w:fldCharType="begin"/>
      </w:r>
      <w:r>
        <w:instrText xml:space="preserve"> HYPERLINK \l "_Toc110246353" </w:instrText>
      </w:r>
      <w:r>
        <w:fldChar w:fldCharType="separate"/>
      </w:r>
      <w:r>
        <w:rPr>
          <w:rStyle w:val="30"/>
        </w:rPr>
        <w:t>5</w:t>
      </w:r>
      <w:r>
        <w:rPr>
          <w:rStyle w:val="30"/>
          <w:rFonts w:hint="eastAsia"/>
        </w:rPr>
        <w:t>　计量特性</w:t>
      </w:r>
      <w:r>
        <w:tab/>
      </w:r>
      <w:r>
        <w:fldChar w:fldCharType="end"/>
      </w:r>
      <w:r>
        <w:rPr>
          <w:rFonts w:hint="eastAsia"/>
        </w:rPr>
        <w:t>（1）</w:t>
      </w:r>
    </w:p>
    <w:p w14:paraId="3F9A31F4">
      <w:pPr>
        <w:pStyle w:val="42"/>
        <w:spacing w:before="78" w:after="78"/>
      </w:pPr>
      <w:r>
        <w:fldChar w:fldCharType="begin"/>
      </w:r>
      <w:r>
        <w:instrText xml:space="preserve"> HYPERLINK \l "_Toc110246351" </w:instrText>
      </w:r>
      <w:r>
        <w:fldChar w:fldCharType="separate"/>
      </w:r>
      <w:r>
        <w:rPr>
          <w:rFonts w:hint="eastAsia"/>
        </w:rPr>
        <w:t>5</w:t>
      </w:r>
      <w:r>
        <w:rPr>
          <w:rStyle w:val="30"/>
          <w:rFonts w:hint="eastAsia"/>
        </w:rPr>
        <w:t>.1　行程</w:t>
      </w:r>
      <w:r>
        <w:tab/>
      </w:r>
      <w:r>
        <w:fldChar w:fldCharType="end"/>
      </w:r>
      <w:r>
        <w:rPr>
          <w:rFonts w:hint="eastAsia"/>
        </w:rPr>
        <w:t>（1）</w:t>
      </w:r>
    </w:p>
    <w:p w14:paraId="63F34BB8">
      <w:pPr>
        <w:pStyle w:val="42"/>
        <w:spacing w:before="78" w:after="78"/>
      </w:pPr>
      <w:r>
        <w:fldChar w:fldCharType="begin"/>
      </w:r>
      <w:r>
        <w:instrText xml:space="preserve"> HYPERLINK \l "_Toc110246351" </w:instrText>
      </w:r>
      <w:r>
        <w:fldChar w:fldCharType="separate"/>
      </w:r>
      <w:r>
        <w:rPr>
          <w:rStyle w:val="30"/>
          <w:rFonts w:hint="eastAsia"/>
        </w:rPr>
        <w:t>5.2　</w:t>
      </w:r>
      <w:r>
        <w:rPr>
          <w:rFonts w:hint="eastAsia" w:asciiTheme="minorEastAsia" w:hAnsiTheme="minorEastAsia" w:eastAsiaTheme="minorEastAsia"/>
        </w:rPr>
        <w:t>指示器显示为力值时，压力机技术指标</w:t>
      </w:r>
      <w:r>
        <w:tab/>
      </w:r>
      <w:r>
        <w:fldChar w:fldCharType="end"/>
      </w:r>
      <w:r>
        <w:rPr>
          <w:rFonts w:hint="eastAsia"/>
        </w:rPr>
        <w:t>（1）</w:t>
      </w:r>
    </w:p>
    <w:p w14:paraId="25B21EC6">
      <w:pPr>
        <w:pStyle w:val="42"/>
        <w:spacing w:before="78" w:after="78"/>
      </w:pPr>
      <w:r>
        <w:fldChar w:fldCharType="begin"/>
      </w:r>
      <w:r>
        <w:instrText xml:space="preserve"> HYPERLINK \l "_Toc110246351" </w:instrText>
      </w:r>
      <w:r>
        <w:fldChar w:fldCharType="separate"/>
      </w:r>
      <w:r>
        <w:rPr>
          <w:rStyle w:val="30"/>
          <w:rFonts w:hint="eastAsia"/>
        </w:rPr>
        <w:t>5.3　</w:t>
      </w:r>
      <w:r>
        <w:rPr>
          <w:rFonts w:hint="eastAsia" w:asciiTheme="minorEastAsia" w:hAnsiTheme="minorEastAsia" w:eastAsiaTheme="minorEastAsia"/>
        </w:rPr>
        <w:t>指示器显示为压力值时，压力机技术指标</w:t>
      </w:r>
      <w:r>
        <w:tab/>
      </w:r>
      <w:r>
        <w:fldChar w:fldCharType="end"/>
      </w:r>
      <w:r>
        <w:rPr>
          <w:rFonts w:hint="eastAsia"/>
        </w:rPr>
        <w:t>（2）</w:t>
      </w:r>
    </w:p>
    <w:p w14:paraId="26DDF44D">
      <w:pPr>
        <w:pStyle w:val="42"/>
        <w:spacing w:before="78" w:after="78"/>
      </w:pPr>
      <w:r>
        <w:fldChar w:fldCharType="begin"/>
      </w:r>
      <w:r>
        <w:instrText xml:space="preserve"> HYPERLINK \l "_Toc110246351" </w:instrText>
      </w:r>
      <w:r>
        <w:fldChar w:fldCharType="separate"/>
      </w:r>
      <w:r>
        <w:rPr>
          <w:rStyle w:val="30"/>
          <w:rFonts w:hint="eastAsia"/>
        </w:rPr>
        <w:t>5.4　</w:t>
      </w:r>
      <w:r>
        <w:rPr>
          <w:rFonts w:hint="eastAsia" w:asciiTheme="minorEastAsia" w:hAnsiTheme="minorEastAsia" w:eastAsiaTheme="minorEastAsia"/>
        </w:rPr>
        <w:t>下压板尺寸</w:t>
      </w:r>
      <w:r>
        <w:tab/>
      </w:r>
      <w:r>
        <w:fldChar w:fldCharType="end"/>
      </w:r>
      <w:r>
        <w:rPr>
          <w:rFonts w:hint="eastAsia"/>
        </w:rPr>
        <w:t>（2）</w:t>
      </w:r>
    </w:p>
    <w:p w14:paraId="2640DB18">
      <w:pPr>
        <w:pStyle w:val="42"/>
        <w:spacing w:before="78" w:after="78"/>
      </w:pPr>
      <w:r>
        <w:fldChar w:fldCharType="begin"/>
      </w:r>
      <w:r>
        <w:instrText xml:space="preserve"> HYPERLINK \l "_Toc110246355" </w:instrText>
      </w:r>
      <w:r>
        <w:fldChar w:fldCharType="separate"/>
      </w:r>
      <w:r>
        <w:rPr>
          <w:rStyle w:val="30"/>
          <w:rFonts w:hint="eastAsia"/>
        </w:rPr>
        <w:t>6　校准条件</w:t>
      </w:r>
      <w:r>
        <w:tab/>
      </w:r>
      <w:r>
        <w:fldChar w:fldCharType="end"/>
      </w:r>
      <w:r>
        <w:rPr>
          <w:rFonts w:hint="eastAsia"/>
        </w:rPr>
        <w:t>（2）</w:t>
      </w:r>
    </w:p>
    <w:p w14:paraId="2AF4A70F">
      <w:pPr>
        <w:pStyle w:val="42"/>
        <w:spacing w:before="78" w:after="78"/>
      </w:pPr>
      <w:r>
        <w:fldChar w:fldCharType="begin"/>
      </w:r>
      <w:r>
        <w:instrText xml:space="preserve"> HYPERLINK \l "_Toc110246351" </w:instrText>
      </w:r>
      <w:r>
        <w:fldChar w:fldCharType="separate"/>
      </w:r>
      <w:r>
        <w:rPr>
          <w:rStyle w:val="30"/>
          <w:rFonts w:hint="eastAsia"/>
        </w:rPr>
        <w:t>6.1　</w:t>
      </w:r>
      <w:r>
        <w:rPr>
          <w:rFonts w:hint="eastAsia" w:asciiTheme="minorEastAsia" w:hAnsiTheme="minorEastAsia" w:eastAsiaTheme="minorEastAsia"/>
        </w:rPr>
        <w:t>校准环境条件</w:t>
      </w:r>
      <w:r>
        <w:tab/>
      </w:r>
      <w:r>
        <w:fldChar w:fldCharType="end"/>
      </w:r>
      <w:r>
        <w:rPr>
          <w:rFonts w:hint="eastAsia"/>
        </w:rPr>
        <w:t>（2）</w:t>
      </w:r>
    </w:p>
    <w:p w14:paraId="665DBD22">
      <w:pPr>
        <w:pStyle w:val="42"/>
        <w:spacing w:before="78" w:after="78"/>
      </w:pPr>
      <w:r>
        <w:fldChar w:fldCharType="begin"/>
      </w:r>
      <w:r>
        <w:instrText xml:space="preserve"> HYPERLINK \l "_Toc110246351" </w:instrText>
      </w:r>
      <w:r>
        <w:fldChar w:fldCharType="separate"/>
      </w:r>
      <w:r>
        <w:rPr>
          <w:rStyle w:val="30"/>
          <w:rFonts w:hint="eastAsia"/>
        </w:rPr>
        <w:t>6.2　</w:t>
      </w:r>
      <w:r>
        <w:rPr>
          <w:rFonts w:hint="eastAsia" w:asciiTheme="minorEastAsia" w:hAnsiTheme="minorEastAsia" w:eastAsiaTheme="minorEastAsia"/>
        </w:rPr>
        <w:t>测量标准及其他设备</w:t>
      </w:r>
      <w:r>
        <w:tab/>
      </w:r>
      <w:r>
        <w:fldChar w:fldCharType="end"/>
      </w:r>
      <w:r>
        <w:rPr>
          <w:rFonts w:hint="eastAsia"/>
        </w:rPr>
        <w:t>（2）</w:t>
      </w:r>
    </w:p>
    <w:p w14:paraId="5B492A3B">
      <w:pPr>
        <w:pStyle w:val="42"/>
        <w:spacing w:before="78" w:after="78"/>
      </w:pPr>
      <w:r>
        <w:fldChar w:fldCharType="begin"/>
      </w:r>
      <w:r>
        <w:instrText xml:space="preserve"> HYPERLINK \l "_Toc110246356" </w:instrText>
      </w:r>
      <w:r>
        <w:fldChar w:fldCharType="separate"/>
      </w:r>
      <w:r>
        <w:rPr>
          <w:rStyle w:val="30"/>
          <w:rFonts w:hint="eastAsia"/>
        </w:rPr>
        <w:t>6.3　加力条件</w:t>
      </w:r>
      <w:r>
        <w:tab/>
      </w:r>
      <w:r>
        <w:fldChar w:fldCharType="end"/>
      </w:r>
      <w:r>
        <w:rPr>
          <w:rFonts w:hint="eastAsia"/>
        </w:rPr>
        <w:t>（3）</w:t>
      </w:r>
    </w:p>
    <w:p w14:paraId="1B6F1455">
      <w:pPr>
        <w:pStyle w:val="42"/>
        <w:spacing w:before="78" w:after="78"/>
        <w:rPr>
          <w:rFonts w:ascii="Times New Roman" w:cs="Times New Roman"/>
          <w:szCs w:val="24"/>
        </w:rPr>
      </w:pPr>
      <w:r>
        <w:fldChar w:fldCharType="begin"/>
      </w:r>
      <w:r>
        <w:instrText xml:space="preserve"> HYPERLINK \l "_Toc110246349" </w:instrText>
      </w:r>
      <w:r>
        <w:fldChar w:fldCharType="separate"/>
      </w:r>
      <w:r>
        <w:rPr>
          <w:rStyle w:val="30"/>
          <w:rFonts w:hint="eastAsia"/>
        </w:rPr>
        <w:t>6.4　校准前检查</w:t>
      </w:r>
      <w:r>
        <w:tab/>
      </w:r>
      <w:r>
        <w:fldChar w:fldCharType="end"/>
      </w:r>
      <w:r>
        <w:rPr>
          <w:rFonts w:hint="eastAsia"/>
        </w:rPr>
        <w:t>（3）</w:t>
      </w:r>
    </w:p>
    <w:p w14:paraId="10DB83A4">
      <w:pPr>
        <w:pStyle w:val="42"/>
        <w:spacing w:before="78" w:after="78"/>
      </w:pPr>
      <w:r>
        <w:fldChar w:fldCharType="begin"/>
      </w:r>
      <w:r>
        <w:instrText xml:space="preserve"> HYPERLINK \l "_Toc110246357" </w:instrText>
      </w:r>
      <w:r>
        <w:fldChar w:fldCharType="separate"/>
      </w:r>
      <w:r>
        <w:rPr>
          <w:rStyle w:val="30"/>
          <w:rFonts w:hint="eastAsia"/>
        </w:rPr>
        <w:t>7　校准项目和校准方法</w:t>
      </w:r>
      <w:r>
        <w:tab/>
      </w:r>
      <w:r>
        <w:fldChar w:fldCharType="end"/>
      </w:r>
      <w:r>
        <w:rPr>
          <w:rFonts w:hint="eastAsia"/>
        </w:rPr>
        <w:t>（3）</w:t>
      </w:r>
    </w:p>
    <w:p w14:paraId="64330766">
      <w:pPr>
        <w:pStyle w:val="42"/>
        <w:spacing w:before="78" w:after="78"/>
      </w:pPr>
      <w:r>
        <w:fldChar w:fldCharType="begin"/>
      </w:r>
      <w:r>
        <w:instrText xml:space="preserve"> HYPERLINK \l "_Toc110246357" </w:instrText>
      </w:r>
      <w:r>
        <w:fldChar w:fldCharType="separate"/>
      </w:r>
      <w:r>
        <w:rPr>
          <w:rStyle w:val="30"/>
          <w:rFonts w:hint="eastAsia"/>
        </w:rPr>
        <w:t>7.1　校准项目</w:t>
      </w:r>
      <w:r>
        <w:tab/>
      </w:r>
      <w:r>
        <w:fldChar w:fldCharType="end"/>
      </w:r>
      <w:r>
        <w:rPr>
          <w:rFonts w:hint="eastAsia"/>
        </w:rPr>
        <w:t>（3）</w:t>
      </w:r>
    </w:p>
    <w:p w14:paraId="5A758870">
      <w:pPr>
        <w:pStyle w:val="42"/>
        <w:spacing w:before="78" w:after="78"/>
      </w:pPr>
      <w:r>
        <w:fldChar w:fldCharType="begin"/>
      </w:r>
      <w:r>
        <w:instrText xml:space="preserve"> HYPERLINK \l "_Toc110246357" </w:instrText>
      </w:r>
      <w:r>
        <w:fldChar w:fldCharType="separate"/>
      </w:r>
      <w:r>
        <w:rPr>
          <w:rStyle w:val="30"/>
          <w:rFonts w:hint="eastAsia"/>
        </w:rPr>
        <w:t>7.2　校准方法</w:t>
      </w:r>
      <w:r>
        <w:tab/>
      </w:r>
      <w:r>
        <w:fldChar w:fldCharType="end"/>
      </w:r>
      <w:r>
        <w:rPr>
          <w:rFonts w:hint="eastAsia"/>
        </w:rPr>
        <w:t>（3）</w:t>
      </w:r>
    </w:p>
    <w:p w14:paraId="7A9E6C47">
      <w:pPr>
        <w:pStyle w:val="42"/>
        <w:spacing w:before="78" w:after="78"/>
      </w:pPr>
      <w:r>
        <w:fldChar w:fldCharType="begin"/>
      </w:r>
      <w:r>
        <w:instrText xml:space="preserve"> HYPERLINK \l "_Toc110246357" </w:instrText>
      </w:r>
      <w:r>
        <w:fldChar w:fldCharType="separate"/>
      </w:r>
      <w:r>
        <w:rPr>
          <w:rStyle w:val="30"/>
          <w:rFonts w:hint="eastAsia"/>
        </w:rPr>
        <w:t>8　校准结果表达</w:t>
      </w:r>
      <w:r>
        <w:tab/>
      </w:r>
      <w:r>
        <w:fldChar w:fldCharType="end"/>
      </w:r>
      <w:r>
        <w:rPr>
          <w:rFonts w:hint="eastAsia"/>
        </w:rPr>
        <w:t>（8）</w:t>
      </w:r>
    </w:p>
    <w:p w14:paraId="2E19E556">
      <w:pPr>
        <w:pStyle w:val="42"/>
        <w:spacing w:before="78" w:after="78"/>
      </w:pPr>
      <w:r>
        <w:fldChar w:fldCharType="begin"/>
      </w:r>
      <w:r>
        <w:instrText xml:space="preserve"> HYPERLINK \l "_Toc110246357" </w:instrText>
      </w:r>
      <w:r>
        <w:fldChar w:fldCharType="separate"/>
      </w:r>
      <w:r>
        <w:rPr>
          <w:rStyle w:val="30"/>
          <w:rFonts w:hint="eastAsia"/>
        </w:rPr>
        <w:t>9 复校时间间隔</w:t>
      </w:r>
      <w:r>
        <w:tab/>
      </w:r>
      <w:r>
        <w:fldChar w:fldCharType="end"/>
      </w:r>
      <w:r>
        <w:rPr>
          <w:rFonts w:hint="eastAsia"/>
        </w:rPr>
        <w:t>（8）</w:t>
      </w:r>
    </w:p>
    <w:p w14:paraId="5ECF99A1">
      <w:pPr>
        <w:pStyle w:val="42"/>
        <w:spacing w:before="78" w:after="78"/>
        <w:rPr>
          <w:rFonts w:ascii="Times New Roman" w:cs="Times New Roman"/>
          <w:szCs w:val="24"/>
        </w:rPr>
      </w:pPr>
      <w:r>
        <w:fldChar w:fldCharType="begin"/>
      </w:r>
      <w:r>
        <w:instrText xml:space="preserve"> HYPERLINK \l "_Toc110246358" </w:instrText>
      </w:r>
      <w:r>
        <w:fldChar w:fldCharType="separate"/>
      </w:r>
      <w:r>
        <w:rPr>
          <w:rStyle w:val="30"/>
          <w:rFonts w:hint="eastAsia"/>
        </w:rPr>
        <w:t>附录A</w:t>
      </w:r>
      <w:r>
        <w:rPr>
          <w:rStyle w:val="30"/>
        </w:rPr>
        <w:t>　</w:t>
      </w:r>
      <w:r>
        <w:rPr>
          <w:rStyle w:val="30"/>
          <w:rFonts w:hint="eastAsia"/>
        </w:rPr>
        <w:t>校准证书内页格式</w:t>
      </w:r>
      <w:r>
        <w:tab/>
      </w:r>
      <w:r>
        <w:fldChar w:fldCharType="end"/>
      </w:r>
      <w:r>
        <w:rPr>
          <w:rFonts w:hint="eastAsia"/>
        </w:rPr>
        <w:t>（9）</w:t>
      </w:r>
    </w:p>
    <w:p w14:paraId="08357896">
      <w:pPr>
        <w:pStyle w:val="42"/>
        <w:spacing w:before="78" w:after="78"/>
      </w:pPr>
      <w:r>
        <w:fldChar w:fldCharType="begin"/>
      </w:r>
      <w:r>
        <w:instrText xml:space="preserve"> HYPERLINK \l "_Toc110246359" </w:instrText>
      </w:r>
      <w:r>
        <w:fldChar w:fldCharType="separate"/>
      </w:r>
      <w:r>
        <w:rPr>
          <w:rStyle w:val="30"/>
          <w:rFonts w:hint="eastAsia"/>
        </w:rPr>
        <w:t>附录B  校准记录格式</w:t>
      </w:r>
      <w:r>
        <w:tab/>
      </w:r>
      <w:r>
        <w:fldChar w:fldCharType="end"/>
      </w:r>
      <w:r>
        <w:rPr>
          <w:rFonts w:hint="eastAsia"/>
        </w:rPr>
        <w:t>（10）</w:t>
      </w:r>
    </w:p>
    <w:p w14:paraId="5D2C02FF">
      <w:pPr>
        <w:pStyle w:val="42"/>
        <w:spacing w:before="78" w:after="78"/>
        <w:rPr>
          <w:rFonts w:cs="Times New Roman"/>
          <w:color w:val="0000FF"/>
          <w:u w:val="single"/>
        </w:rPr>
      </w:pPr>
      <w:r>
        <w:fldChar w:fldCharType="begin"/>
      </w:r>
      <w:r>
        <w:instrText xml:space="preserve"> HYPERLINK \l "_Toc110246359" </w:instrText>
      </w:r>
      <w:r>
        <w:fldChar w:fldCharType="separate"/>
      </w:r>
      <w:r>
        <w:rPr>
          <w:rStyle w:val="30"/>
          <w:rFonts w:hint="eastAsia"/>
        </w:rPr>
        <w:t>附录C  不确定度评定示例</w:t>
      </w:r>
      <w:r>
        <w:tab/>
      </w:r>
      <w:r>
        <w:fldChar w:fldCharType="end"/>
      </w:r>
      <w:r>
        <w:rPr>
          <w:rFonts w:hint="eastAsia"/>
        </w:rPr>
        <w:t>（11）</w:t>
      </w:r>
    </w:p>
    <w:p w14:paraId="079B8D23">
      <w:pPr>
        <w:pStyle w:val="42"/>
        <w:spacing w:before="78" w:after="78"/>
        <w:rPr>
          <w:rFonts w:cs="Times New Roman"/>
          <w:color w:val="0000FF"/>
          <w:u w:val="single"/>
        </w:rPr>
      </w:pPr>
    </w:p>
    <w:p w14:paraId="3DD21D02"/>
    <w:p w14:paraId="20E8C2B8">
      <w:pPr>
        <w:pStyle w:val="19"/>
        <w:ind w:firstLine="0" w:firstLineChars="0"/>
      </w:pPr>
      <w:r>
        <w:fldChar w:fldCharType="end"/>
      </w:r>
      <w:bookmarkStart w:id="5" w:name="_Toc110246348"/>
    </w:p>
    <w:p w14:paraId="6E26624D">
      <w:pPr>
        <w:pStyle w:val="19"/>
        <w:ind w:firstLine="0" w:firstLineChars="0"/>
      </w:pPr>
    </w:p>
    <w:p w14:paraId="3ACC7150">
      <w:pPr>
        <w:pStyle w:val="19"/>
        <w:ind w:firstLine="0" w:firstLineChars="0"/>
        <w:jc w:val="center"/>
        <w:rPr>
          <w:rFonts w:ascii="黑体" w:hAnsi="黑体" w:eastAsia="黑体" w:cs="Times New Roman"/>
          <w:sz w:val="44"/>
          <w:szCs w:val="44"/>
        </w:rPr>
      </w:pPr>
      <w:r>
        <w:rPr>
          <w:rFonts w:hint="eastAsia" w:ascii="黑体" w:hAnsi="黑体" w:eastAsia="黑体"/>
          <w:sz w:val="44"/>
          <w:szCs w:val="44"/>
        </w:rPr>
        <w:t>引</w:t>
      </w:r>
      <w:bookmarkStart w:id="6" w:name="BKYY"/>
      <w:r>
        <w:rPr>
          <w:rFonts w:hint="eastAsia" w:ascii="黑体" w:hAnsi="黑体" w:eastAsia="黑体"/>
          <w:sz w:val="44"/>
          <w:szCs w:val="44"/>
        </w:rPr>
        <w:t>  言</w:t>
      </w:r>
      <w:bookmarkEnd w:id="0"/>
      <w:bookmarkEnd w:id="1"/>
      <w:bookmarkEnd w:id="2"/>
      <w:bookmarkEnd w:id="5"/>
      <w:bookmarkEnd w:id="6"/>
    </w:p>
    <w:p w14:paraId="2CB62A72">
      <w:pPr>
        <w:pStyle w:val="19"/>
        <w:spacing w:line="360" w:lineRule="auto"/>
        <w:ind w:firstLine="480"/>
        <w:rPr>
          <w:rFonts w:cs="Times New Roman"/>
          <w:sz w:val="24"/>
          <w:szCs w:val="24"/>
        </w:rPr>
      </w:pPr>
      <w:r>
        <w:rPr>
          <w:sz w:val="24"/>
          <w:szCs w:val="24"/>
        </w:rPr>
        <w:t>JJF</w:t>
      </w:r>
      <w:r>
        <w:rPr>
          <w:rFonts w:hint="eastAsia"/>
          <w:sz w:val="24"/>
          <w:szCs w:val="24"/>
        </w:rPr>
        <w:t>1071《国家计量校准规范编写规则》、</w:t>
      </w:r>
      <w:r>
        <w:rPr>
          <w:sz w:val="24"/>
          <w:szCs w:val="24"/>
        </w:rPr>
        <w:t>JJF 1001</w:t>
      </w:r>
      <w:r>
        <w:rPr>
          <w:rFonts w:hint="eastAsia"/>
          <w:sz w:val="24"/>
          <w:szCs w:val="24"/>
        </w:rPr>
        <w:t>《通用计量术语及定义》、</w:t>
      </w:r>
      <w:r>
        <w:rPr>
          <w:sz w:val="24"/>
          <w:szCs w:val="24"/>
        </w:rPr>
        <w:t>JJF 1059.1</w:t>
      </w:r>
      <w:r>
        <w:rPr>
          <w:rFonts w:hint="eastAsia"/>
          <w:sz w:val="24"/>
          <w:szCs w:val="24"/>
        </w:rPr>
        <w:t>《测量不确定度评定与表示》、和</w:t>
      </w:r>
      <w:r>
        <w:rPr>
          <w:sz w:val="24"/>
          <w:szCs w:val="24"/>
        </w:rPr>
        <w:t>JJF 1094</w:t>
      </w:r>
      <w:r>
        <w:rPr>
          <w:rFonts w:hint="eastAsia"/>
          <w:sz w:val="24"/>
          <w:szCs w:val="24"/>
        </w:rPr>
        <w:t>《测量仪器特性评定》共同构成本规范的基础性规范。</w:t>
      </w:r>
    </w:p>
    <w:p w14:paraId="45E4B0E3">
      <w:pPr>
        <w:pStyle w:val="19"/>
        <w:spacing w:line="360" w:lineRule="auto"/>
        <w:ind w:firstLine="480"/>
        <w:rPr>
          <w:rFonts w:cs="Times New Roman"/>
          <w:sz w:val="24"/>
          <w:szCs w:val="24"/>
        </w:rPr>
      </w:pPr>
      <w:r>
        <w:rPr>
          <w:sz w:val="24"/>
          <w:szCs w:val="24"/>
        </w:rPr>
        <w:t xml:space="preserve">GB/T </w:t>
      </w:r>
      <w:r>
        <w:rPr>
          <w:rFonts w:hint="eastAsia"/>
          <w:sz w:val="24"/>
          <w:szCs w:val="24"/>
        </w:rPr>
        <w:t>2611-2022《试验机 通用技术要求》、</w:t>
      </w:r>
      <w:r>
        <w:rPr>
          <w:sz w:val="24"/>
          <w:szCs w:val="24"/>
        </w:rPr>
        <w:t xml:space="preserve">GB/T </w:t>
      </w:r>
      <w:r>
        <w:rPr>
          <w:rFonts w:hint="eastAsia"/>
          <w:sz w:val="24"/>
          <w:szCs w:val="24"/>
        </w:rPr>
        <w:t>50315</w:t>
      </w:r>
      <w:r>
        <w:rPr>
          <w:sz w:val="24"/>
          <w:szCs w:val="24"/>
        </w:rPr>
        <w:t>-</w:t>
      </w:r>
      <w:r>
        <w:rPr>
          <w:rFonts w:hint="eastAsia"/>
          <w:sz w:val="24"/>
          <w:szCs w:val="24"/>
        </w:rPr>
        <w:t>2011《砌体工程现场检测技术标准》作为本规范制定工作的技术性标准。</w:t>
      </w:r>
    </w:p>
    <w:p w14:paraId="5D6FD751">
      <w:pPr>
        <w:pStyle w:val="19"/>
        <w:spacing w:line="360" w:lineRule="auto"/>
        <w:ind w:firstLine="480"/>
        <w:rPr>
          <w:rFonts w:cs="Times New Roman"/>
          <w:sz w:val="24"/>
          <w:szCs w:val="24"/>
        </w:rPr>
      </w:pPr>
      <w:r>
        <w:rPr>
          <w:rFonts w:hint="eastAsia"/>
          <w:sz w:val="24"/>
          <w:szCs w:val="24"/>
        </w:rPr>
        <w:t>本规范为首次发布。</w:t>
      </w:r>
    </w:p>
    <w:p w14:paraId="1EB10593">
      <w:pPr>
        <w:pStyle w:val="19"/>
        <w:rPr>
          <w:rFonts w:cs="Times New Roman"/>
        </w:rPr>
        <w:sectPr>
          <w:footerReference r:id="rId6" w:type="default"/>
          <w:pgSz w:w="11906" w:h="16838"/>
          <w:pgMar w:top="567" w:right="1134" w:bottom="1134" w:left="1418" w:header="1418" w:footer="1134" w:gutter="0"/>
          <w:pgNumType w:fmt="upperRoman" w:start="1"/>
          <w:cols w:space="720" w:num="1"/>
          <w:formProt w:val="0"/>
          <w:docGrid w:type="lines" w:linePitch="312" w:charSpace="0"/>
        </w:sectPr>
      </w:pPr>
    </w:p>
    <w:p w14:paraId="0490CC0E">
      <w:pPr>
        <w:pStyle w:val="59"/>
        <w:spacing w:before="0" w:after="0" w:line="360" w:lineRule="auto"/>
        <w:rPr>
          <w:rFonts w:cs="Times New Roman"/>
        </w:rPr>
      </w:pPr>
      <w:r>
        <w:rPr>
          <w:rFonts w:hint="eastAsia"/>
        </w:rPr>
        <w:t>原位压力机校准规范</w:t>
      </w:r>
    </w:p>
    <w:p w14:paraId="7858940F">
      <w:pPr>
        <w:pStyle w:val="54"/>
        <w:spacing w:beforeLines="0" w:afterLines="0" w:line="360" w:lineRule="auto"/>
        <w:rPr>
          <w:rFonts w:hAnsi="黑体" w:cs="Times New Roman"/>
          <w:sz w:val="24"/>
          <w:szCs w:val="24"/>
        </w:rPr>
      </w:pPr>
      <w:bookmarkStart w:id="7" w:name="_Toc99349719"/>
      <w:bookmarkStart w:id="8" w:name="_Toc110246349"/>
      <w:bookmarkStart w:id="9" w:name="_Toc99349799"/>
      <w:bookmarkStart w:id="10" w:name="_Toc99349836"/>
      <w:r>
        <w:rPr>
          <w:rFonts w:hint="eastAsia" w:hAnsi="黑体"/>
          <w:sz w:val="24"/>
          <w:szCs w:val="24"/>
        </w:rPr>
        <w:t>范围</w:t>
      </w:r>
      <w:bookmarkEnd w:id="7"/>
      <w:bookmarkEnd w:id="8"/>
      <w:bookmarkEnd w:id="9"/>
      <w:bookmarkEnd w:id="10"/>
    </w:p>
    <w:p w14:paraId="6F695390">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本规范适用于各种原位压力机（以下简称压力机）的校准。</w:t>
      </w:r>
    </w:p>
    <w:p w14:paraId="11147E8F">
      <w:pPr>
        <w:pStyle w:val="54"/>
        <w:spacing w:beforeLines="0" w:afterLines="0" w:line="360" w:lineRule="auto"/>
        <w:rPr>
          <w:rFonts w:hAnsi="黑体"/>
          <w:sz w:val="24"/>
          <w:szCs w:val="24"/>
        </w:rPr>
      </w:pPr>
      <w:bookmarkStart w:id="11" w:name="_Toc99349720"/>
      <w:bookmarkStart w:id="12" w:name="_Toc99349800"/>
      <w:bookmarkStart w:id="13" w:name="_Toc99349837"/>
      <w:bookmarkStart w:id="14" w:name="_Toc110246350"/>
      <w:r>
        <w:rPr>
          <w:rFonts w:hint="eastAsia" w:hAnsi="黑体"/>
          <w:sz w:val="24"/>
          <w:szCs w:val="24"/>
        </w:rPr>
        <w:t>引用文件</w:t>
      </w:r>
      <w:bookmarkEnd w:id="11"/>
      <w:bookmarkEnd w:id="12"/>
      <w:bookmarkEnd w:id="13"/>
      <w:bookmarkEnd w:id="14"/>
    </w:p>
    <w:p w14:paraId="169F8244">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下列文件对于本文件的应用是必不可少的。凡是注日期的引用文件，仅所注日期的版本适用于本文件。凡是不注日期的引用文件，其最新版本（包括所有的修改单）适用于本文件。</w:t>
      </w:r>
    </w:p>
    <w:p w14:paraId="4B5BE12C">
      <w:pPr>
        <w:pStyle w:val="19"/>
        <w:spacing w:line="360" w:lineRule="auto"/>
        <w:ind w:firstLine="480"/>
        <w:rPr>
          <w:rFonts w:cs="Times New Roman" w:asciiTheme="minorEastAsia" w:hAnsiTheme="minorEastAsia" w:eastAsiaTheme="minorEastAsia"/>
          <w:sz w:val="24"/>
          <w:szCs w:val="24"/>
        </w:rPr>
      </w:pPr>
      <w:r>
        <w:rPr>
          <w:rFonts w:hint="eastAsia" w:asciiTheme="minorEastAsia" w:hAnsiTheme="minorEastAsia" w:eastAsiaTheme="minorEastAsia"/>
          <w:sz w:val="24"/>
          <w:szCs w:val="24"/>
        </w:rPr>
        <w:t>JJG621-2012《液压千斤顶检定规程》</w:t>
      </w:r>
    </w:p>
    <w:p w14:paraId="584E888F">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GB/T </w:t>
      </w:r>
      <w:r>
        <w:rPr>
          <w:rFonts w:hint="eastAsia" w:asciiTheme="minorEastAsia" w:hAnsiTheme="minorEastAsia" w:eastAsiaTheme="minorEastAsia"/>
          <w:sz w:val="24"/>
          <w:szCs w:val="24"/>
        </w:rPr>
        <w:t>2611-2022《试验机 通用技术要求》</w:t>
      </w:r>
    </w:p>
    <w:p w14:paraId="2C60D539">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GB/T </w:t>
      </w:r>
      <w:r>
        <w:rPr>
          <w:rFonts w:hint="eastAsia" w:asciiTheme="minorEastAsia" w:hAnsiTheme="minorEastAsia" w:eastAsiaTheme="minorEastAsia"/>
          <w:sz w:val="24"/>
          <w:szCs w:val="24"/>
        </w:rPr>
        <w:t>50315</w:t>
      </w:r>
      <w:r>
        <w:rPr>
          <w:rFonts w:asciiTheme="minorEastAsia" w:hAnsiTheme="minorEastAsia" w:eastAsiaTheme="minorEastAsia"/>
          <w:sz w:val="24"/>
          <w:szCs w:val="24"/>
        </w:rPr>
        <w:t>-</w:t>
      </w:r>
      <w:r>
        <w:rPr>
          <w:rFonts w:hint="eastAsia" w:asciiTheme="minorEastAsia" w:hAnsiTheme="minorEastAsia" w:eastAsiaTheme="minorEastAsia"/>
          <w:sz w:val="24"/>
          <w:szCs w:val="24"/>
        </w:rPr>
        <w:t>2011《砌体工程现场检测技术标准》</w:t>
      </w:r>
    </w:p>
    <w:p w14:paraId="369EE7AB">
      <w:pPr>
        <w:pStyle w:val="54"/>
        <w:spacing w:beforeLines="0" w:afterLines="0" w:line="360" w:lineRule="auto"/>
        <w:rPr>
          <w:rFonts w:hAnsi="黑体"/>
          <w:sz w:val="24"/>
          <w:szCs w:val="24"/>
        </w:rPr>
      </w:pPr>
      <w:bookmarkStart w:id="15" w:name="_Toc99349838"/>
      <w:bookmarkStart w:id="16" w:name="_Toc99349721"/>
      <w:bookmarkStart w:id="17" w:name="_Toc110246351"/>
      <w:bookmarkStart w:id="18" w:name="_Toc99349801"/>
      <w:r>
        <w:rPr>
          <w:rFonts w:hint="eastAsia" w:hAnsi="黑体"/>
          <w:sz w:val="24"/>
          <w:szCs w:val="24"/>
        </w:rPr>
        <w:t>术语和定义</w:t>
      </w:r>
      <w:bookmarkEnd w:id="15"/>
      <w:bookmarkEnd w:id="16"/>
      <w:bookmarkEnd w:id="17"/>
      <w:bookmarkEnd w:id="18"/>
    </w:p>
    <w:p w14:paraId="460866C2">
      <w:pPr>
        <w:pStyle w:val="50"/>
        <w:spacing w:beforeLines="0" w:afterLines="0" w:line="360" w:lineRule="auto"/>
        <w:rPr>
          <w:rFonts w:asciiTheme="minorEastAsia" w:hAnsiTheme="minorEastAsia" w:eastAsiaTheme="minorEastAsia"/>
          <w:sz w:val="24"/>
          <w:szCs w:val="24"/>
        </w:rPr>
      </w:pPr>
      <w:bookmarkStart w:id="19" w:name="_Toc99349802"/>
      <w:bookmarkEnd w:id="19"/>
      <w:bookmarkStart w:id="20" w:name="_Toc99349803"/>
      <w:r>
        <w:rPr>
          <w:rFonts w:hint="eastAsia" w:asciiTheme="minorEastAsia" w:hAnsiTheme="minorEastAsia" w:eastAsiaTheme="minorEastAsia"/>
          <w:sz w:val="24"/>
          <w:szCs w:val="24"/>
        </w:rPr>
        <w:t>内泄漏</w:t>
      </w:r>
      <w:bookmarkEnd w:id="20"/>
      <w:r>
        <w:rPr>
          <w:rFonts w:asciiTheme="minorEastAsia" w:hAnsiTheme="minorEastAsia" w:eastAsiaTheme="minorEastAsia"/>
          <w:sz w:val="24"/>
          <w:szCs w:val="24"/>
        </w:rPr>
        <w:t>internal</w:t>
      </w:r>
      <w:r>
        <w:rPr>
          <w:rFonts w:hint="eastAsia" w:asciiTheme="minorEastAsia" w:hAnsiTheme="minorEastAsia" w:eastAsiaTheme="minorEastAsia"/>
          <w:sz w:val="24"/>
          <w:szCs w:val="24"/>
        </w:rPr>
        <w:t xml:space="preserve"> leak</w:t>
      </w:r>
    </w:p>
    <w:p w14:paraId="0027203B">
      <w:pPr>
        <w:spacing w:line="360" w:lineRule="auto"/>
        <w:ind w:firstLine="480" w:firstLineChars="20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压力机在保待压力时，因内部密封不良产生的泄压现象。</w:t>
      </w:r>
    </w:p>
    <w:p w14:paraId="196C170F">
      <w:pPr>
        <w:pStyle w:val="50"/>
        <w:spacing w:beforeLines="0" w:afterLines="0" w:line="360" w:lineRule="auto"/>
        <w:rPr>
          <w:rFonts w:asciiTheme="minorEastAsia" w:hAnsiTheme="minorEastAsia" w:eastAsiaTheme="minorEastAsia"/>
          <w:sz w:val="24"/>
          <w:szCs w:val="24"/>
        </w:rPr>
      </w:pPr>
      <w:bookmarkStart w:id="21" w:name="_Toc99349804"/>
      <w:bookmarkEnd w:id="21"/>
      <w:r>
        <w:rPr>
          <w:rFonts w:hint="eastAsia" w:asciiTheme="minorEastAsia" w:hAnsiTheme="minorEastAsia" w:eastAsiaTheme="minorEastAsia"/>
          <w:sz w:val="24"/>
          <w:szCs w:val="24"/>
        </w:rPr>
        <w:t>行程</w:t>
      </w:r>
      <w:r>
        <w:rPr>
          <w:rFonts w:asciiTheme="minorEastAsia" w:hAnsiTheme="minorEastAsia" w:eastAsiaTheme="minorEastAsia"/>
          <w:sz w:val="24"/>
          <w:szCs w:val="24"/>
        </w:rPr>
        <w:t>piston stroke</w:t>
      </w:r>
    </w:p>
    <w:p w14:paraId="1738CF29">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液压启动后，扁式千斤顶活塞能升起的高度。</w:t>
      </w:r>
    </w:p>
    <w:p w14:paraId="426C1486">
      <w:pPr>
        <w:pStyle w:val="50"/>
        <w:spacing w:beforeLines="0" w:afterLines="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校准方程  calibration equation</w:t>
      </w:r>
    </w:p>
    <w:p w14:paraId="6E0CF8C8">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为了使压力机能在给定力值范围内连续使用，根据有限次数的定度数据建立的原位压力机压力表示值与施加的标准力值之间的关系式。</w:t>
      </w:r>
    </w:p>
    <w:p w14:paraId="1BD68714">
      <w:pPr>
        <w:spacing w:line="360" w:lineRule="auto"/>
        <w:ind w:left="540"/>
        <w:rPr>
          <w:rFonts w:ascii="仿宋" w:hAnsi="仿宋" w:eastAsia="仿宋" w:cs="宋体"/>
          <w:kern w:val="0"/>
        </w:rPr>
      </w:pPr>
      <w:r>
        <w:rPr>
          <w:rFonts w:ascii="仿宋" w:hAnsi="仿宋" w:eastAsia="仿宋" w:cs="宋体"/>
          <w:kern w:val="0"/>
        </w:rPr>
        <w:t>注：一般为一次或二次曲线。</w:t>
      </w:r>
    </w:p>
    <w:p w14:paraId="05B8884F">
      <w:pPr>
        <w:pStyle w:val="54"/>
        <w:spacing w:beforeLines="0" w:afterLines="0" w:line="360" w:lineRule="auto"/>
        <w:rPr>
          <w:rFonts w:hAnsi="黑体"/>
          <w:sz w:val="24"/>
          <w:szCs w:val="24"/>
        </w:rPr>
      </w:pPr>
      <w:bookmarkStart w:id="22" w:name="_Toc99349722"/>
      <w:bookmarkStart w:id="23" w:name="_Toc99349839"/>
      <w:bookmarkStart w:id="24" w:name="_Toc99349806"/>
      <w:bookmarkStart w:id="25" w:name="_Toc110246352"/>
      <w:r>
        <w:rPr>
          <w:rFonts w:hint="eastAsia" w:hAnsi="黑体"/>
          <w:sz w:val="24"/>
          <w:szCs w:val="24"/>
        </w:rPr>
        <w:t>概述</w:t>
      </w:r>
      <w:bookmarkEnd w:id="22"/>
      <w:bookmarkEnd w:id="23"/>
      <w:bookmarkEnd w:id="24"/>
      <w:bookmarkEnd w:id="25"/>
    </w:p>
    <w:p w14:paraId="1DFD005A">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压力机主要由扁式千斤顶、手动油泵和指示器等组成，其工作原理是手动油泵通过油路对扁式千斤顶供油，扁式千斤顶对试样施加作用力，通过指示器直接或间接显示施加的力值。</w:t>
      </w:r>
    </w:p>
    <w:p w14:paraId="03278B14">
      <w:pPr>
        <w:pStyle w:val="54"/>
        <w:spacing w:beforeLines="0" w:afterLines="0" w:line="360" w:lineRule="auto"/>
        <w:rPr>
          <w:rFonts w:hAnsi="黑体"/>
          <w:sz w:val="24"/>
          <w:szCs w:val="24"/>
        </w:rPr>
      </w:pPr>
      <w:bookmarkStart w:id="26" w:name="_Toc110246353"/>
      <w:bookmarkStart w:id="27" w:name="_Toc99349840"/>
      <w:bookmarkStart w:id="28" w:name="_Toc99349723"/>
      <w:bookmarkStart w:id="29" w:name="_Toc99349807"/>
      <w:r>
        <w:rPr>
          <w:rFonts w:hint="eastAsia" w:hAnsi="黑体"/>
          <w:sz w:val="24"/>
          <w:szCs w:val="24"/>
        </w:rPr>
        <w:t>计量</w:t>
      </w:r>
      <w:bookmarkEnd w:id="26"/>
      <w:bookmarkEnd w:id="27"/>
      <w:bookmarkEnd w:id="28"/>
      <w:bookmarkEnd w:id="29"/>
      <w:r>
        <w:rPr>
          <w:rFonts w:hint="eastAsia" w:hAnsi="黑体"/>
          <w:sz w:val="24"/>
          <w:szCs w:val="24"/>
        </w:rPr>
        <w:t>特性</w:t>
      </w:r>
    </w:p>
    <w:p w14:paraId="7AE8B20E">
      <w:pPr>
        <w:pStyle w:val="50"/>
        <w:spacing w:beforeLines="0" w:afterLines="0"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行程</w:t>
      </w:r>
    </w:p>
    <w:p w14:paraId="31A2B219">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原位压力机行程及最大允许偏差应满足表1要求</w:t>
      </w:r>
    </w:p>
    <w:p w14:paraId="74DFC971">
      <w:pPr>
        <w:pStyle w:val="19"/>
        <w:spacing w:line="360" w:lineRule="auto"/>
      </w:pPr>
    </w:p>
    <w:p w14:paraId="5CB8B87A">
      <w:pPr>
        <w:pStyle w:val="19"/>
        <w:spacing w:line="360" w:lineRule="auto"/>
      </w:pPr>
    </w:p>
    <w:p w14:paraId="288C2848">
      <w:pPr>
        <w:pStyle w:val="19"/>
        <w:spacing w:line="360" w:lineRule="auto"/>
        <w:ind w:firstLine="480"/>
        <w:jc w:val="center"/>
        <w:rPr>
          <w:sz w:val="24"/>
          <w:szCs w:val="24"/>
        </w:rPr>
      </w:pPr>
      <w:r>
        <w:rPr>
          <w:rFonts w:hint="eastAsia"/>
          <w:sz w:val="24"/>
          <w:szCs w:val="24"/>
        </w:rPr>
        <w:t>表1</w:t>
      </w:r>
    </w:p>
    <w:p w14:paraId="1663DC2B">
      <w:pPr>
        <w:pStyle w:val="19"/>
        <w:spacing w:line="360" w:lineRule="auto"/>
        <w:ind w:right="420" w:firstLine="480"/>
        <w:jc w:val="right"/>
        <w:rPr>
          <w:rFonts w:ascii="黑体" w:hAnsi="黑体" w:eastAsia="黑体"/>
          <w:sz w:val="24"/>
          <w:szCs w:val="24"/>
        </w:rPr>
      </w:pPr>
      <w:r>
        <w:rPr>
          <w:rFonts w:hint="eastAsia" w:asciiTheme="minorEastAsia" w:hAnsiTheme="minorEastAsia" w:eastAsiaTheme="minorEastAsia"/>
          <w:sz w:val="24"/>
          <w:szCs w:val="24"/>
        </w:rPr>
        <w:t>mm</w:t>
      </w:r>
    </w:p>
    <w:tbl>
      <w:tblPr>
        <w:tblStyle w:val="2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41"/>
        <w:gridCol w:w="5729"/>
      </w:tblGrid>
      <w:tr w14:paraId="3CA33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2007" w:type="pct"/>
          </w:tcPr>
          <w:p w14:paraId="1667526A">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行程</w:t>
            </w:r>
          </w:p>
        </w:tc>
        <w:tc>
          <w:tcPr>
            <w:tcW w:w="2993" w:type="pct"/>
          </w:tcPr>
          <w:p w14:paraId="2FFB6C3F">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15</w:t>
            </w:r>
          </w:p>
        </w:tc>
      </w:tr>
      <w:tr w14:paraId="60A7D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1" w:hRule="atLeast"/>
          <w:jc w:val="center"/>
        </w:trPr>
        <w:tc>
          <w:tcPr>
            <w:tcW w:w="2007" w:type="pct"/>
            <w:vAlign w:val="center"/>
          </w:tcPr>
          <w:p w14:paraId="7C927413">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最大允许偏差</w:t>
            </w:r>
          </w:p>
        </w:tc>
        <w:tc>
          <w:tcPr>
            <w:tcW w:w="2993" w:type="pct"/>
            <w:vAlign w:val="center"/>
          </w:tcPr>
          <w:p w14:paraId="1E02DADB">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+5</w:t>
            </w:r>
          </w:p>
        </w:tc>
      </w:tr>
    </w:tbl>
    <w:p w14:paraId="2C87175A">
      <w:pPr>
        <w:pStyle w:val="50"/>
        <w:spacing w:beforeLines="0" w:afterLines="0"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指示器显示为力值时，压力机技术指标最大允许值见表2</w:t>
      </w:r>
    </w:p>
    <w:p w14:paraId="1667FC74">
      <w:pPr>
        <w:pStyle w:val="19"/>
        <w:spacing w:line="360" w:lineRule="auto"/>
        <w:ind w:firstLine="480"/>
        <w:jc w:val="center"/>
        <w:rPr>
          <w:rFonts w:ascii="黑体" w:hAnsi="黑体" w:eastAsia="黑体"/>
          <w:sz w:val="24"/>
          <w:szCs w:val="24"/>
        </w:rPr>
      </w:pPr>
      <w:r>
        <w:rPr>
          <w:rFonts w:hint="eastAsia" w:asciiTheme="minorEastAsia" w:hAnsiTheme="minorEastAsia" w:eastAsiaTheme="minorEastAsia"/>
          <w:sz w:val="24"/>
          <w:szCs w:val="24"/>
        </w:rPr>
        <w:t>表2</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84"/>
        <w:gridCol w:w="1554"/>
        <w:gridCol w:w="1346"/>
        <w:gridCol w:w="1646"/>
        <w:gridCol w:w="1346"/>
        <w:gridCol w:w="1047"/>
        <w:gridCol w:w="1047"/>
      </w:tblGrid>
      <w:tr w14:paraId="33CE0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828" w:type="pct"/>
          </w:tcPr>
          <w:p w14:paraId="30430C7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准确度等级</w:t>
            </w:r>
          </w:p>
        </w:tc>
        <w:tc>
          <w:tcPr>
            <w:tcW w:w="812" w:type="pct"/>
          </w:tcPr>
          <w:p w14:paraId="3C6652B7">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示值重复性</w:t>
            </w:r>
          </w:p>
        </w:tc>
        <w:tc>
          <w:tcPr>
            <w:tcW w:w="703" w:type="pct"/>
          </w:tcPr>
          <w:p w14:paraId="616F7400">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示值误差</w:t>
            </w:r>
          </w:p>
        </w:tc>
        <w:tc>
          <w:tcPr>
            <w:tcW w:w="860" w:type="pct"/>
          </w:tcPr>
          <w:p w14:paraId="67C39D53">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相对分辨力</w:t>
            </w:r>
          </w:p>
        </w:tc>
        <w:tc>
          <w:tcPr>
            <w:tcW w:w="703" w:type="pct"/>
          </w:tcPr>
          <w:p w14:paraId="6A8B56A4">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零点漂移</w:t>
            </w:r>
          </w:p>
        </w:tc>
        <w:tc>
          <w:tcPr>
            <w:tcW w:w="547" w:type="pct"/>
          </w:tcPr>
          <w:p w14:paraId="14FDB719">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回零差</w:t>
            </w:r>
          </w:p>
        </w:tc>
        <w:tc>
          <w:tcPr>
            <w:tcW w:w="547" w:type="pct"/>
          </w:tcPr>
          <w:p w14:paraId="715C7705">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内泄漏</w:t>
            </w:r>
          </w:p>
        </w:tc>
      </w:tr>
      <w:tr w14:paraId="14B33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1" w:hRule="atLeast"/>
        </w:trPr>
        <w:tc>
          <w:tcPr>
            <w:tcW w:w="828" w:type="pct"/>
            <w:vAlign w:val="center"/>
          </w:tcPr>
          <w:p w14:paraId="31795FB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3级</w:t>
            </w:r>
          </w:p>
        </w:tc>
        <w:tc>
          <w:tcPr>
            <w:tcW w:w="812" w:type="pct"/>
            <w:vAlign w:val="center"/>
          </w:tcPr>
          <w:p w14:paraId="73999A8A">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703" w:type="pct"/>
            <w:vAlign w:val="center"/>
          </w:tcPr>
          <w:p w14:paraId="7F27F446">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860" w:type="pct"/>
            <w:vAlign w:val="center"/>
          </w:tcPr>
          <w:p w14:paraId="04BC4FB2">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0.2%FS</w:t>
            </w:r>
          </w:p>
        </w:tc>
        <w:tc>
          <w:tcPr>
            <w:tcW w:w="703" w:type="pct"/>
            <w:vAlign w:val="center"/>
          </w:tcPr>
          <w:p w14:paraId="1CB6209F">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0.3%FS</w:t>
            </w:r>
          </w:p>
        </w:tc>
        <w:tc>
          <w:tcPr>
            <w:tcW w:w="547" w:type="pct"/>
            <w:vAlign w:val="center"/>
          </w:tcPr>
          <w:p w14:paraId="2872FB9F">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1.5%FS</w:t>
            </w:r>
          </w:p>
        </w:tc>
        <w:tc>
          <w:tcPr>
            <w:tcW w:w="547" w:type="pct"/>
            <w:vAlign w:val="center"/>
          </w:tcPr>
          <w:p w14:paraId="159278BE">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5%FS</w:t>
            </w:r>
          </w:p>
        </w:tc>
      </w:tr>
    </w:tbl>
    <w:p w14:paraId="5FEFA12E">
      <w:pPr>
        <w:pStyle w:val="50"/>
        <w:spacing w:beforeLines="0" w:afterLines="0" w:line="360" w:lineRule="auto"/>
        <w:rPr>
          <w:rFonts w:cs="宋体" w:asciiTheme="minorEastAsia" w:hAnsiTheme="minorEastAsia" w:eastAsiaTheme="minorEastAsia"/>
          <w:sz w:val="24"/>
          <w:szCs w:val="24"/>
        </w:rPr>
      </w:pPr>
      <w:bookmarkStart w:id="30" w:name="_Toc99349724"/>
      <w:bookmarkStart w:id="31" w:name="_Toc110246354"/>
      <w:bookmarkStart w:id="32" w:name="_Toc99349810"/>
      <w:bookmarkStart w:id="33" w:name="_Toc99349841"/>
      <w:r>
        <w:rPr>
          <w:rFonts w:hint="eastAsia" w:cs="宋体" w:asciiTheme="minorEastAsia" w:hAnsiTheme="minorEastAsia" w:eastAsiaTheme="minorEastAsia"/>
          <w:sz w:val="24"/>
          <w:szCs w:val="24"/>
        </w:rPr>
        <w:t>指示器显示为压力值时，压力机技术指标最大允许值见表3</w:t>
      </w:r>
    </w:p>
    <w:p w14:paraId="10178C9F">
      <w:pPr>
        <w:pStyle w:val="19"/>
        <w:spacing w:line="360" w:lineRule="auto"/>
        <w:ind w:firstLine="48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表3</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5"/>
        <w:gridCol w:w="1809"/>
        <w:gridCol w:w="1566"/>
        <w:gridCol w:w="1914"/>
        <w:gridCol w:w="1219"/>
        <w:gridCol w:w="1217"/>
      </w:tblGrid>
      <w:tr w14:paraId="03FB0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964" w:type="pct"/>
          </w:tcPr>
          <w:p w14:paraId="48691E0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准确度定级</w:t>
            </w:r>
          </w:p>
        </w:tc>
        <w:tc>
          <w:tcPr>
            <w:tcW w:w="945" w:type="pct"/>
          </w:tcPr>
          <w:p w14:paraId="754AD48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示值重复性</w:t>
            </w:r>
          </w:p>
        </w:tc>
        <w:tc>
          <w:tcPr>
            <w:tcW w:w="818" w:type="pct"/>
          </w:tcPr>
          <w:p w14:paraId="02E3C6D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内插误差</w:t>
            </w:r>
          </w:p>
        </w:tc>
        <w:tc>
          <w:tcPr>
            <w:tcW w:w="1000" w:type="pct"/>
          </w:tcPr>
          <w:p w14:paraId="097B7E9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相对分辨力</w:t>
            </w:r>
          </w:p>
        </w:tc>
        <w:tc>
          <w:tcPr>
            <w:tcW w:w="637" w:type="pct"/>
          </w:tcPr>
          <w:p w14:paraId="656663E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回零差</w:t>
            </w:r>
          </w:p>
        </w:tc>
        <w:tc>
          <w:tcPr>
            <w:tcW w:w="636" w:type="pct"/>
          </w:tcPr>
          <w:p w14:paraId="41B89BC6">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内泄漏</w:t>
            </w:r>
          </w:p>
        </w:tc>
      </w:tr>
      <w:tr w14:paraId="7777B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964" w:type="pct"/>
            <w:vAlign w:val="center"/>
          </w:tcPr>
          <w:p w14:paraId="7BD46526">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3级</w:t>
            </w:r>
          </w:p>
        </w:tc>
        <w:tc>
          <w:tcPr>
            <w:tcW w:w="945" w:type="pct"/>
            <w:vAlign w:val="center"/>
          </w:tcPr>
          <w:p w14:paraId="77527572">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818" w:type="pct"/>
            <w:vAlign w:val="center"/>
          </w:tcPr>
          <w:p w14:paraId="650F42E4">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1000" w:type="pct"/>
            <w:vAlign w:val="center"/>
          </w:tcPr>
          <w:p w14:paraId="0A439DA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0.2%FS</w:t>
            </w:r>
          </w:p>
        </w:tc>
        <w:tc>
          <w:tcPr>
            <w:tcW w:w="637" w:type="pct"/>
            <w:vAlign w:val="center"/>
          </w:tcPr>
          <w:p w14:paraId="4054E0F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1.5%FS</w:t>
            </w:r>
          </w:p>
        </w:tc>
        <w:tc>
          <w:tcPr>
            <w:tcW w:w="636" w:type="pct"/>
            <w:vAlign w:val="center"/>
          </w:tcPr>
          <w:p w14:paraId="056E6D97">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5%FS</w:t>
            </w:r>
          </w:p>
        </w:tc>
      </w:tr>
    </w:tbl>
    <w:p w14:paraId="533BBF9D">
      <w:pPr>
        <w:pStyle w:val="50"/>
        <w:spacing w:beforeLines="0" w:afterLines="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下压板尺寸</w:t>
      </w:r>
    </w:p>
    <w:p w14:paraId="3A934E7F">
      <w:pPr>
        <w:pStyle w:val="19"/>
        <w:spacing w:line="360" w:lineRule="auto"/>
        <w:ind w:firstLine="48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表4</w:t>
      </w:r>
    </w:p>
    <w:p w14:paraId="4976B97C">
      <w:pPr>
        <w:pStyle w:val="19"/>
        <w:spacing w:line="360" w:lineRule="auto"/>
        <w:ind w:right="420" w:firstLine="480"/>
        <w:jc w:val="right"/>
        <w:rPr>
          <w:rFonts w:ascii="黑体" w:hAnsi="黑体" w:eastAsia="黑体"/>
          <w:sz w:val="24"/>
          <w:szCs w:val="24"/>
        </w:rPr>
      </w:pPr>
      <w:r>
        <w:rPr>
          <w:rFonts w:hint="eastAsia" w:asciiTheme="minorEastAsia" w:hAnsiTheme="minorEastAsia" w:eastAsiaTheme="minorEastAsia"/>
          <w:sz w:val="24"/>
          <w:szCs w:val="24"/>
        </w:rPr>
        <w:t>mm</w:t>
      </w:r>
    </w:p>
    <w:tbl>
      <w:tblPr>
        <w:tblStyle w:val="2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41"/>
        <w:gridCol w:w="5729"/>
      </w:tblGrid>
      <w:tr w14:paraId="2397D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jc w:val="center"/>
        </w:trPr>
        <w:tc>
          <w:tcPr>
            <w:tcW w:w="2007" w:type="pct"/>
          </w:tcPr>
          <w:p w14:paraId="4D90AFF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下压板尺寸</w:t>
            </w:r>
          </w:p>
        </w:tc>
        <w:tc>
          <w:tcPr>
            <w:tcW w:w="2993" w:type="pct"/>
          </w:tcPr>
          <w:p w14:paraId="72F8648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240</w:t>
            </w:r>
          </w:p>
        </w:tc>
      </w:tr>
      <w:tr w14:paraId="42A23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2007" w:type="pct"/>
            <w:vAlign w:val="center"/>
          </w:tcPr>
          <w:p w14:paraId="00DACE4E">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最大允许偏差</w:t>
            </w:r>
          </w:p>
        </w:tc>
        <w:tc>
          <w:tcPr>
            <w:tcW w:w="2993" w:type="pct"/>
            <w:vAlign w:val="center"/>
          </w:tcPr>
          <w:p w14:paraId="5B3E840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±1.2</w:t>
            </w:r>
          </w:p>
        </w:tc>
      </w:tr>
      <w:bookmarkEnd w:id="30"/>
      <w:bookmarkEnd w:id="31"/>
      <w:bookmarkEnd w:id="32"/>
      <w:bookmarkEnd w:id="33"/>
    </w:tbl>
    <w:p w14:paraId="0A068A35">
      <w:pPr>
        <w:pStyle w:val="54"/>
        <w:spacing w:beforeLines="0" w:afterLines="0" w:line="360" w:lineRule="auto"/>
        <w:rPr>
          <w:sz w:val="24"/>
          <w:szCs w:val="24"/>
        </w:rPr>
      </w:pPr>
      <w:r>
        <w:rPr>
          <w:rFonts w:hint="eastAsia"/>
          <w:sz w:val="24"/>
          <w:szCs w:val="24"/>
        </w:rPr>
        <w:t>校准条件</w:t>
      </w:r>
    </w:p>
    <w:p w14:paraId="4DD90EA0">
      <w:pPr>
        <w:pStyle w:val="50"/>
        <w:numPr>
          <w:ilvl w:val="0"/>
          <w:numId w:val="0"/>
        </w:numPr>
        <w:spacing w:beforeLines="0" w:afterLines="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6.1校准环境条件</w:t>
      </w:r>
    </w:p>
    <w:p w14:paraId="1ED542BD">
      <w:pPr>
        <w:widowControl w:val="0"/>
        <w:kinsoku w:val="0"/>
        <w:overflowPunct w:val="0"/>
        <w:autoSpaceDE w:val="0"/>
        <w:autoSpaceDN w:val="0"/>
        <w:adjustRightInd w:val="0"/>
        <w:snapToGrid w:val="0"/>
        <w:spacing w:line="360" w:lineRule="auto"/>
        <w:ind w:left="125" w:right="1242" w:firstLine="471"/>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压力机应在</w:t>
      </w:r>
      <w:r>
        <w:rPr>
          <w:rFonts w:hint="eastAsia"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rPr>
        <w:t xml:space="preserve">3 5 </w:t>
      </w:r>
      <w:r>
        <w:rPr>
          <w:rFonts w:hint="eastAsia"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t>°C ,相对湿度不大于80%的环境中校准。</w:t>
      </w:r>
    </w:p>
    <w:p w14:paraId="3EBCE22C">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6.2 测量标准及设备</w:t>
      </w:r>
    </w:p>
    <w:p w14:paraId="6CC73520">
      <w:pPr>
        <w:pStyle w:val="8"/>
        <w:spacing w:line="360" w:lineRule="auto"/>
        <w:ind w:left="115" w:right="1207" w:firstLine="483"/>
        <w:rPr>
          <w:rFonts w:cs="宋体" w:asciiTheme="minorEastAsia" w:hAnsiTheme="minorEastAsia" w:eastAsiaTheme="minorEastAsia"/>
          <w:sz w:val="24"/>
          <w:szCs w:val="24"/>
        </w:rPr>
      </w:pPr>
      <w:r>
        <w:rPr>
          <w:rFonts w:cs="宋体" w:asciiTheme="minorEastAsia" w:hAnsiTheme="minorEastAsia" w:eastAsiaTheme="minorEastAsia"/>
          <w:sz w:val="24"/>
          <w:szCs w:val="24"/>
        </w:rPr>
        <w:t>a) 标准测力仪（以下简称测力仪）：准确度等级不低于 0.</w:t>
      </w:r>
      <w:r>
        <w:rPr>
          <w:rFonts w:hint="eastAsia" w:cs="宋体" w:asciiTheme="minorEastAsia" w:hAnsiTheme="minorEastAsia" w:eastAsiaTheme="minorEastAsia"/>
          <w:sz w:val="24"/>
          <w:szCs w:val="24"/>
        </w:rPr>
        <w:t>5</w:t>
      </w:r>
      <w:r>
        <w:rPr>
          <w:rFonts w:cs="宋体" w:asciiTheme="minorEastAsia" w:hAnsiTheme="minorEastAsia" w:eastAsiaTheme="minorEastAsia"/>
          <w:sz w:val="24"/>
          <w:szCs w:val="24"/>
        </w:rPr>
        <w:t>级</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测力仪的力值</w:t>
      </w:r>
      <w:r>
        <w:rPr>
          <w:rFonts w:hint="eastAsia" w:cs="宋体" w:asciiTheme="minorEastAsia" w:hAnsiTheme="minorEastAsia" w:eastAsiaTheme="minorEastAsia"/>
          <w:sz w:val="24"/>
          <w:szCs w:val="24"/>
        </w:rPr>
        <w:t>上</w:t>
      </w:r>
      <w:r>
        <w:rPr>
          <w:rFonts w:cs="宋体" w:asciiTheme="minorEastAsia" w:hAnsiTheme="minorEastAsia" w:eastAsiaTheme="minorEastAsia"/>
          <w:sz w:val="24"/>
          <w:szCs w:val="24"/>
        </w:rPr>
        <w:t>限应与被检压力机额定力值相适应</w:t>
      </w:r>
      <w:r>
        <w:rPr>
          <w:rFonts w:hint="eastAsia" w:cs="宋体" w:asciiTheme="minorEastAsia" w:hAnsiTheme="minorEastAsia" w:eastAsiaTheme="minorEastAsia"/>
          <w:sz w:val="24"/>
          <w:szCs w:val="24"/>
        </w:rPr>
        <w:t>；</w:t>
      </w:r>
    </w:p>
    <w:p w14:paraId="291C7457">
      <w:pPr>
        <w:pStyle w:val="8"/>
        <w:spacing w:line="360" w:lineRule="auto"/>
        <w:ind w:left="616"/>
        <w:rPr>
          <w:rFonts w:cs="宋体" w:asciiTheme="minorEastAsia" w:hAnsiTheme="minorEastAsia" w:eastAsiaTheme="minorEastAsia"/>
          <w:sz w:val="24"/>
          <w:szCs w:val="24"/>
        </w:rPr>
      </w:pPr>
      <w:r>
        <w:rPr>
          <w:rFonts w:cs="宋体" w:asciiTheme="minorEastAsia" w:hAnsiTheme="minorEastAsia" w:eastAsiaTheme="minorEastAsia"/>
          <w:sz w:val="24"/>
          <w:szCs w:val="24"/>
        </w:rPr>
        <w:t>b) 秒表：</w:t>
      </w:r>
      <w:r>
        <w:rPr>
          <w:rFonts w:hint="eastAsia" w:cs="宋体" w:asciiTheme="minorEastAsia" w:hAnsiTheme="minorEastAsia" w:eastAsiaTheme="minorEastAsia"/>
          <w:sz w:val="24"/>
          <w:szCs w:val="24"/>
        </w:rPr>
        <w:t>MPE:±0.10s（0～60min）；</w:t>
      </w:r>
    </w:p>
    <w:p w14:paraId="7239DC77">
      <w:pPr>
        <w:pStyle w:val="8"/>
        <w:spacing w:line="360" w:lineRule="auto"/>
        <w:ind w:left="616"/>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c）钢直尺：0～300mm，MPE:±0.10mm；</w:t>
      </w:r>
    </w:p>
    <w:p w14:paraId="52D1BEBE">
      <w:pPr>
        <w:pStyle w:val="8"/>
        <w:spacing w:line="360" w:lineRule="auto"/>
        <w:ind w:left="616"/>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d）游标卡尺：0～300mm，分度值0.02mm，MPE:±0.04mm。</w:t>
      </w:r>
    </w:p>
    <w:p w14:paraId="124BCF13">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6.3 加力条件</w:t>
      </w:r>
    </w:p>
    <w:p w14:paraId="0AC9F56B">
      <w:pPr>
        <w:pStyle w:val="8"/>
        <w:spacing w:line="360" w:lineRule="auto"/>
        <w:ind w:left="599"/>
        <w:rPr>
          <w:rFonts w:cs="宋体" w:asciiTheme="minorEastAsia" w:hAnsiTheme="minorEastAsia" w:eastAsiaTheme="minorEastAsia"/>
          <w:sz w:val="24"/>
          <w:szCs w:val="24"/>
        </w:rPr>
      </w:pPr>
      <w:r>
        <w:rPr>
          <w:rFonts w:cs="宋体" w:asciiTheme="minorEastAsia" w:hAnsiTheme="minorEastAsia" w:eastAsiaTheme="minorEastAsia"/>
          <w:sz w:val="24"/>
          <w:szCs w:val="24"/>
        </w:rPr>
        <w:t>a) 测力仪的安装应保证其主轴线与压力机轴线相重合</w:t>
      </w:r>
      <w:r>
        <w:rPr>
          <w:rFonts w:hint="eastAsia" w:cs="宋体" w:asciiTheme="minorEastAsia" w:hAnsiTheme="minorEastAsia" w:eastAsiaTheme="minorEastAsia"/>
          <w:sz w:val="24"/>
          <w:szCs w:val="24"/>
        </w:rPr>
        <w:t>；</w:t>
      </w:r>
    </w:p>
    <w:p w14:paraId="0DD0228D">
      <w:pPr>
        <w:pStyle w:val="19"/>
        <w:spacing w:line="360" w:lineRule="auto"/>
        <w:ind w:firstLine="540" w:firstLineChars="225"/>
        <w:rPr>
          <w:rFonts w:asciiTheme="minorEastAsia" w:hAnsiTheme="minorEastAsia" w:eastAsiaTheme="minorEastAsia"/>
          <w:sz w:val="24"/>
          <w:szCs w:val="24"/>
        </w:rPr>
      </w:pPr>
      <w:r>
        <w:rPr>
          <w:rFonts w:asciiTheme="minorEastAsia" w:hAnsiTheme="minorEastAsia" w:eastAsiaTheme="minorEastAsia"/>
          <w:sz w:val="24"/>
          <w:szCs w:val="24"/>
        </w:rPr>
        <w:t>b) 测力仪与压力机的接触面平滑，不得有锈蚀、擦伤及杂物。</w:t>
      </w:r>
    </w:p>
    <w:p w14:paraId="3F09AC71">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6.4 校准前检查</w:t>
      </w:r>
    </w:p>
    <w:p w14:paraId="038884AB">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6.4.1 外观</w:t>
      </w:r>
    </w:p>
    <w:p w14:paraId="033970F3">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压力机应有铭牌，铭牌上应标明：</w:t>
      </w:r>
      <w:r>
        <w:rPr>
          <w:rFonts w:hint="eastAsia" w:asciiTheme="minorEastAsia" w:hAnsiTheme="minorEastAsia" w:eastAsiaTheme="minorEastAsia"/>
          <w:sz w:val="24"/>
          <w:szCs w:val="24"/>
        </w:rPr>
        <w:t>名称、型号、规格、准确</w:t>
      </w:r>
      <w:r>
        <w:rPr>
          <w:rFonts w:asciiTheme="minorEastAsia" w:hAnsiTheme="minorEastAsia" w:eastAsiaTheme="minorEastAsia"/>
          <w:sz w:val="24"/>
          <w:szCs w:val="24"/>
        </w:rPr>
        <w:t>度等级、制造厂名、出厂编号及日期。</w:t>
      </w:r>
    </w:p>
    <w:p w14:paraId="0016C165">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6.4.2 压力指示器</w:t>
      </w:r>
    </w:p>
    <w:p w14:paraId="79299094">
      <w:pPr>
        <w:pStyle w:val="8"/>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数字</w:t>
      </w:r>
      <w:r>
        <w:rPr>
          <w:rFonts w:cs="宋体" w:asciiTheme="minorEastAsia" w:hAnsiTheme="minorEastAsia" w:eastAsiaTheme="minorEastAsia"/>
          <w:sz w:val="24"/>
          <w:szCs w:val="24"/>
        </w:rPr>
        <w:t>指示器应正常稳定，数字显示清晰准确、无滞后，并有峰值显示功能。</w:t>
      </w:r>
      <w:r>
        <w:rPr>
          <w:rFonts w:hint="eastAsia" w:cs="宋体" w:asciiTheme="minorEastAsia" w:hAnsiTheme="minorEastAsia" w:eastAsiaTheme="minorEastAsia"/>
          <w:sz w:val="24"/>
          <w:szCs w:val="24"/>
        </w:rPr>
        <w:t>模拟指示器</w:t>
      </w:r>
      <w:r>
        <w:rPr>
          <w:rFonts w:cs="宋体" w:asciiTheme="minorEastAsia" w:hAnsiTheme="minorEastAsia" w:eastAsiaTheme="minorEastAsia"/>
          <w:sz w:val="24"/>
          <w:szCs w:val="24"/>
        </w:rPr>
        <w:t>表盘刻度与标记清晰，指针无松动和弯曲，加载时指针走动均匀，无停滞和跳动现象。</w:t>
      </w:r>
    </w:p>
    <w:p w14:paraId="51ACD3C1">
      <w:pPr>
        <w:pStyle w:val="136"/>
        <w:numPr>
          <w:ilvl w:val="0"/>
          <w:numId w:val="0"/>
        </w:numPr>
        <w:spacing w:beforeLines="0" w:afterLines="0" w:line="360" w:lineRule="auto"/>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 xml:space="preserve">6.4.3操作适应性 </w:t>
      </w:r>
    </w:p>
    <w:p w14:paraId="72CED02C">
      <w:pPr>
        <w:pStyle w:val="136"/>
        <w:numPr>
          <w:ilvl w:val="0"/>
          <w:numId w:val="0"/>
        </w:numPr>
        <w:spacing w:beforeLines="0" w:afterLines="0" w:line="360" w:lineRule="auto"/>
        <w:ind w:firstLine="480" w:firstLineChars="200"/>
        <w:jc w:val="both"/>
        <w:rPr>
          <w:rFonts w:cs="宋体" w:asciiTheme="minorEastAsia" w:hAnsiTheme="minorEastAsia" w:eastAsiaTheme="minorEastAsia"/>
          <w:sz w:val="24"/>
          <w:szCs w:val="24"/>
        </w:rPr>
      </w:pPr>
      <w:r>
        <w:rPr>
          <w:rFonts w:cs="宋体" w:asciiTheme="minorEastAsia" w:hAnsiTheme="minorEastAsia" w:eastAsiaTheme="minorEastAsia"/>
          <w:sz w:val="24"/>
          <w:szCs w:val="24"/>
        </w:rPr>
        <w:t>压力机加、卸力应平稳、无妨碍读数的压力波动，无冲击和颤动现象。</w:t>
      </w:r>
    </w:p>
    <w:p w14:paraId="7AE69E48">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油压系统工作正常、反应灵敏、油路无渗涌，液压油清洁纯净。</w:t>
      </w:r>
    </w:p>
    <w:p w14:paraId="24D80152">
      <w:pPr>
        <w:pStyle w:val="50"/>
        <w:numPr>
          <w:ilvl w:val="0"/>
          <w:numId w:val="0"/>
        </w:numPr>
        <w:spacing w:beforeLines="0" w:afterLines="0" w:line="360" w:lineRule="auto"/>
        <w:rPr>
          <w:rFonts w:asciiTheme="minorEastAsia" w:hAnsiTheme="minorEastAsia" w:eastAsiaTheme="minorEastAsia"/>
          <w:sz w:val="24"/>
          <w:szCs w:val="24"/>
        </w:rPr>
      </w:pPr>
      <w:r>
        <w:rPr>
          <w:rFonts w:hint="eastAsia" w:cs="黑体"/>
          <w:sz w:val="24"/>
          <w:szCs w:val="24"/>
        </w:rPr>
        <w:t>7  校准项目和校准方法</w:t>
      </w:r>
    </w:p>
    <w:p w14:paraId="333B4021">
      <w:pPr>
        <w:pStyle w:val="55"/>
        <w:numPr>
          <w:ilvl w:val="0"/>
          <w:numId w:val="0"/>
        </w:numPr>
        <w:spacing w:beforeLines="0" w:afterLines="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7.1 校准项目</w:t>
      </w:r>
    </w:p>
    <w:p w14:paraId="175179B4">
      <w:pPr>
        <w:pStyle w:val="19"/>
        <w:spacing w:line="360" w:lineRule="auto"/>
        <w:ind w:firstLine="480"/>
        <w:jc w:val="center"/>
        <w:rPr>
          <w:rFonts w:cs="Times New Roman" w:asciiTheme="minorEastAsia" w:hAnsiTheme="minorEastAsia" w:eastAsiaTheme="minorEastAsia"/>
        </w:rPr>
      </w:pPr>
      <w:r>
        <w:rPr>
          <w:rFonts w:hint="eastAsia" w:asciiTheme="minorEastAsia" w:hAnsiTheme="minorEastAsia" w:eastAsiaTheme="minorEastAsia"/>
          <w:sz w:val="24"/>
          <w:szCs w:val="24"/>
        </w:rPr>
        <w:t>表5</w:t>
      </w:r>
      <w:r>
        <w:rPr>
          <w:rFonts w:hint="eastAsia" w:cs="Times New Roman" w:asciiTheme="minorEastAsia" w:hAnsiTheme="minorEastAsia" w:eastAsiaTheme="minorEastAsia"/>
        </w:rPr>
        <w:t xml:space="preserve"> </w:t>
      </w:r>
      <w:r>
        <w:rPr>
          <w:rFonts w:hint="eastAsia" w:asciiTheme="minorEastAsia" w:hAnsiTheme="minorEastAsia" w:eastAsiaTheme="minorEastAsia"/>
          <w:sz w:val="24"/>
          <w:szCs w:val="24"/>
        </w:rPr>
        <w:t xml:space="preserve">压力机校准项目一览表 </w:t>
      </w:r>
    </w:p>
    <w:tbl>
      <w:tblPr>
        <w:tblStyle w:val="25"/>
        <w:tblW w:w="8577" w:type="dxa"/>
        <w:tblInd w:w="6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8"/>
        <w:gridCol w:w="3631"/>
        <w:gridCol w:w="14"/>
        <w:gridCol w:w="3584"/>
      </w:tblGrid>
      <w:tr w14:paraId="15C2C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8" w:type="dxa"/>
          </w:tcPr>
          <w:p w14:paraId="3E343D8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序号</w:t>
            </w:r>
          </w:p>
        </w:tc>
        <w:tc>
          <w:tcPr>
            <w:tcW w:w="3645" w:type="dxa"/>
            <w:gridSpan w:val="2"/>
          </w:tcPr>
          <w:p w14:paraId="5A11E655">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校准项目</w:t>
            </w:r>
          </w:p>
        </w:tc>
        <w:tc>
          <w:tcPr>
            <w:tcW w:w="3584" w:type="dxa"/>
          </w:tcPr>
          <w:p w14:paraId="2B37CE36">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校准方法</w:t>
            </w:r>
          </w:p>
        </w:tc>
      </w:tr>
      <w:tr w14:paraId="78359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348" w:type="dxa"/>
            <w:vAlign w:val="center"/>
          </w:tcPr>
          <w:p w14:paraId="4BD8C92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w:t>
            </w:r>
          </w:p>
        </w:tc>
        <w:tc>
          <w:tcPr>
            <w:tcW w:w="3645" w:type="dxa"/>
            <w:gridSpan w:val="2"/>
            <w:vAlign w:val="center"/>
          </w:tcPr>
          <w:p w14:paraId="177AD004">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校准前检查</w:t>
            </w:r>
          </w:p>
        </w:tc>
        <w:tc>
          <w:tcPr>
            <w:tcW w:w="3584" w:type="dxa"/>
            <w:vAlign w:val="center"/>
          </w:tcPr>
          <w:p w14:paraId="364DE5CA">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7.2.1</w:t>
            </w:r>
          </w:p>
        </w:tc>
      </w:tr>
      <w:tr w14:paraId="59DD9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348" w:type="dxa"/>
            <w:vAlign w:val="center"/>
          </w:tcPr>
          <w:p w14:paraId="7C64F7C7">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w:t>
            </w:r>
          </w:p>
        </w:tc>
        <w:tc>
          <w:tcPr>
            <w:tcW w:w="3645" w:type="dxa"/>
            <w:gridSpan w:val="2"/>
            <w:vAlign w:val="center"/>
          </w:tcPr>
          <w:p w14:paraId="19F9024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行程</w:t>
            </w:r>
          </w:p>
        </w:tc>
        <w:tc>
          <w:tcPr>
            <w:tcW w:w="3584" w:type="dxa"/>
            <w:vAlign w:val="center"/>
          </w:tcPr>
          <w:p w14:paraId="3C420D99">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7.2.2</w:t>
            </w:r>
          </w:p>
        </w:tc>
      </w:tr>
      <w:tr w14:paraId="33E2A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1348" w:type="dxa"/>
            <w:vAlign w:val="center"/>
          </w:tcPr>
          <w:p w14:paraId="7261C495">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w:t>
            </w:r>
          </w:p>
        </w:tc>
        <w:tc>
          <w:tcPr>
            <w:tcW w:w="3645" w:type="dxa"/>
            <w:gridSpan w:val="2"/>
            <w:vAlign w:val="center"/>
          </w:tcPr>
          <w:p w14:paraId="5F73C87B">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相对分辨力</w:t>
            </w:r>
          </w:p>
        </w:tc>
        <w:tc>
          <w:tcPr>
            <w:tcW w:w="3584" w:type="dxa"/>
          </w:tcPr>
          <w:p w14:paraId="5EEC462C">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7.2.3</w:t>
            </w:r>
          </w:p>
        </w:tc>
      </w:tr>
      <w:tr w14:paraId="31301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1348" w:type="dxa"/>
            <w:vAlign w:val="center"/>
          </w:tcPr>
          <w:p w14:paraId="1A717216">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w:t>
            </w:r>
          </w:p>
        </w:tc>
        <w:tc>
          <w:tcPr>
            <w:tcW w:w="3645" w:type="dxa"/>
            <w:gridSpan w:val="2"/>
            <w:vAlign w:val="center"/>
          </w:tcPr>
          <w:p w14:paraId="48B243C9">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零点漂移*</w:t>
            </w:r>
          </w:p>
        </w:tc>
        <w:tc>
          <w:tcPr>
            <w:tcW w:w="3584" w:type="dxa"/>
          </w:tcPr>
          <w:p w14:paraId="3BDF1A32">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7.2.4</w:t>
            </w:r>
          </w:p>
        </w:tc>
      </w:tr>
      <w:tr w14:paraId="69D57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1348" w:type="dxa"/>
            <w:vAlign w:val="center"/>
          </w:tcPr>
          <w:p w14:paraId="4DA0E39F">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5</w:t>
            </w:r>
          </w:p>
        </w:tc>
        <w:tc>
          <w:tcPr>
            <w:tcW w:w="3645" w:type="dxa"/>
            <w:gridSpan w:val="2"/>
            <w:vAlign w:val="center"/>
          </w:tcPr>
          <w:p w14:paraId="29DDD179">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回零差</w:t>
            </w:r>
          </w:p>
        </w:tc>
        <w:tc>
          <w:tcPr>
            <w:tcW w:w="3584" w:type="dxa"/>
          </w:tcPr>
          <w:p w14:paraId="48746C2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7.2.5</w:t>
            </w:r>
          </w:p>
        </w:tc>
      </w:tr>
      <w:tr w14:paraId="2E99E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1348" w:type="dxa"/>
            <w:vAlign w:val="center"/>
          </w:tcPr>
          <w:p w14:paraId="4254F2FA">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6</w:t>
            </w:r>
          </w:p>
        </w:tc>
        <w:tc>
          <w:tcPr>
            <w:tcW w:w="3631" w:type="dxa"/>
            <w:vAlign w:val="center"/>
          </w:tcPr>
          <w:p w14:paraId="3092EE60">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内泄漏</w:t>
            </w:r>
          </w:p>
        </w:tc>
        <w:tc>
          <w:tcPr>
            <w:tcW w:w="3598" w:type="dxa"/>
            <w:gridSpan w:val="2"/>
          </w:tcPr>
          <w:p w14:paraId="1C23DEC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7.2.6</w:t>
            </w:r>
          </w:p>
        </w:tc>
      </w:tr>
      <w:tr w14:paraId="28D21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rPr>
        <w:tc>
          <w:tcPr>
            <w:tcW w:w="1348" w:type="dxa"/>
            <w:vAlign w:val="center"/>
          </w:tcPr>
          <w:p w14:paraId="007CCF3A">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w:t>
            </w:r>
          </w:p>
        </w:tc>
        <w:tc>
          <w:tcPr>
            <w:tcW w:w="3631" w:type="dxa"/>
            <w:vAlign w:val="center"/>
          </w:tcPr>
          <w:p w14:paraId="1FB41C0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示值重复性</w:t>
            </w:r>
          </w:p>
        </w:tc>
        <w:tc>
          <w:tcPr>
            <w:tcW w:w="3598" w:type="dxa"/>
            <w:gridSpan w:val="2"/>
          </w:tcPr>
          <w:p w14:paraId="6D199607">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7.2.7</w:t>
            </w:r>
          </w:p>
        </w:tc>
      </w:tr>
      <w:tr w14:paraId="09839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rPr>
        <w:tc>
          <w:tcPr>
            <w:tcW w:w="1348" w:type="dxa"/>
            <w:vAlign w:val="center"/>
          </w:tcPr>
          <w:p w14:paraId="065A327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8</w:t>
            </w:r>
          </w:p>
        </w:tc>
        <w:tc>
          <w:tcPr>
            <w:tcW w:w="3631" w:type="dxa"/>
            <w:vAlign w:val="center"/>
          </w:tcPr>
          <w:p w14:paraId="2D8FC88F">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示值误差*</w:t>
            </w:r>
          </w:p>
        </w:tc>
        <w:tc>
          <w:tcPr>
            <w:tcW w:w="3598" w:type="dxa"/>
            <w:gridSpan w:val="2"/>
          </w:tcPr>
          <w:p w14:paraId="74096AE8">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7.2.7</w:t>
            </w:r>
          </w:p>
        </w:tc>
      </w:tr>
      <w:tr w14:paraId="56DE4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rPr>
        <w:tc>
          <w:tcPr>
            <w:tcW w:w="1348" w:type="dxa"/>
            <w:vAlign w:val="center"/>
          </w:tcPr>
          <w:p w14:paraId="6905DD4B">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9</w:t>
            </w:r>
          </w:p>
        </w:tc>
        <w:tc>
          <w:tcPr>
            <w:tcW w:w="3631" w:type="dxa"/>
            <w:vAlign w:val="center"/>
          </w:tcPr>
          <w:p w14:paraId="197D233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内插误差**</w:t>
            </w:r>
          </w:p>
        </w:tc>
        <w:tc>
          <w:tcPr>
            <w:tcW w:w="3598" w:type="dxa"/>
            <w:gridSpan w:val="2"/>
          </w:tcPr>
          <w:p w14:paraId="329A64AF">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7.2.7</w:t>
            </w:r>
          </w:p>
        </w:tc>
      </w:tr>
      <w:tr w14:paraId="03ACF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rPr>
        <w:tc>
          <w:tcPr>
            <w:tcW w:w="1348" w:type="dxa"/>
            <w:vAlign w:val="center"/>
          </w:tcPr>
          <w:p w14:paraId="09DA0466">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10</w:t>
            </w:r>
          </w:p>
        </w:tc>
        <w:tc>
          <w:tcPr>
            <w:tcW w:w="3631" w:type="dxa"/>
            <w:vAlign w:val="center"/>
          </w:tcPr>
          <w:p w14:paraId="31EAFFD1">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下压板尺寸</w:t>
            </w:r>
          </w:p>
        </w:tc>
        <w:tc>
          <w:tcPr>
            <w:tcW w:w="3598" w:type="dxa"/>
            <w:gridSpan w:val="2"/>
          </w:tcPr>
          <w:p w14:paraId="7BD508ED">
            <w:pPr>
              <w:spacing w:line="360" w:lineRule="auto"/>
              <w:jc w:val="center"/>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7.2.8</w:t>
            </w:r>
          </w:p>
        </w:tc>
      </w:tr>
      <w:tr w14:paraId="37864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3" w:hRule="atLeast"/>
        </w:trPr>
        <w:tc>
          <w:tcPr>
            <w:tcW w:w="8577" w:type="dxa"/>
            <w:gridSpan w:val="4"/>
            <w:tcBorders>
              <w:right w:val="single" w:color="auto" w:sz="4" w:space="0"/>
            </w:tcBorders>
          </w:tcPr>
          <w:p w14:paraId="2FCCE20B">
            <w:pPr>
              <w:spacing w:line="360" w:lineRule="auto"/>
              <w:ind w:left="945" w:hanging="945" w:hangingChars="450"/>
              <w:jc w:val="left"/>
              <w:rPr>
                <w:rFonts w:ascii="仿宋" w:hAnsi="仿宋" w:eastAsia="仿宋" w:cs="宋体"/>
                <w:kern w:val="0"/>
              </w:rPr>
            </w:pPr>
            <w:r>
              <w:rPr>
                <w:rFonts w:hint="eastAsia" w:ascii="仿宋" w:hAnsi="仿宋" w:eastAsia="仿宋" w:cs="宋体"/>
                <w:kern w:val="0"/>
              </w:rPr>
              <w:t>注：（1）*项目为指示器显示为力值时校准项目，**项目为指示器显示为压力值时校准项目</w:t>
            </w:r>
          </w:p>
        </w:tc>
      </w:tr>
    </w:tbl>
    <w:p w14:paraId="6DA2D303">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 校准方法</w:t>
      </w:r>
    </w:p>
    <w:p w14:paraId="518F02A8">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7.2.1 通过目测和实际操作对压力机进行检查,其结果应满足6.4要求。</w:t>
      </w:r>
    </w:p>
    <w:p w14:paraId="7E3E2149">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7.2.2 压力机启动正常后，用钢直尺测量空载活塞最大行程，重复测量3次，校准结果平均值应符合表1要求。</w:t>
      </w:r>
    </w:p>
    <w:p w14:paraId="7455351B">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7.2.3 相对分辨力</w:t>
      </w:r>
      <w:bookmarkStart w:id="34" w:name="_Hlk176285500"/>
      <w:r>
        <w:rPr>
          <w:rFonts w:hint="eastAsia" w:asciiTheme="minorEastAsia" w:hAnsiTheme="minorEastAsia" w:eastAsiaTheme="minorEastAsia"/>
          <w:i/>
          <w:iCs/>
          <w:sz w:val="24"/>
          <w:szCs w:val="24"/>
        </w:rPr>
        <w:t>R</w:t>
      </w:r>
      <w:r>
        <w:rPr>
          <w:rFonts w:hint="eastAsia" w:asciiTheme="minorEastAsia" w:hAnsiTheme="minorEastAsia" w:eastAsiaTheme="minorEastAsia"/>
          <w:i/>
          <w:iCs/>
          <w:sz w:val="24"/>
          <w:szCs w:val="24"/>
          <w:vertAlign w:val="subscript"/>
        </w:rPr>
        <w:t>es</w:t>
      </w:r>
      <w:bookmarkEnd w:id="34"/>
      <w:r>
        <w:rPr>
          <w:rFonts w:hint="eastAsia" w:asciiTheme="minorEastAsia" w:hAnsiTheme="minorEastAsia" w:eastAsiaTheme="minorEastAsia"/>
          <w:sz w:val="24"/>
          <w:szCs w:val="24"/>
        </w:rPr>
        <w:t>的校准</w:t>
      </w:r>
    </w:p>
    <w:p w14:paraId="58D22CBD">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数字式指示器相对分辨力的判定</w:t>
      </w:r>
      <w:r>
        <w:rPr>
          <w:rFonts w:hint="eastAsia" w:asciiTheme="minorEastAsia" w:hAnsiTheme="minorEastAsia" w:eastAsiaTheme="minorEastAsia"/>
          <w:sz w:val="24"/>
          <w:szCs w:val="24"/>
        </w:rPr>
        <w:t>：</w:t>
      </w:r>
      <w:r>
        <w:rPr>
          <w:rFonts w:asciiTheme="minorEastAsia" w:hAnsiTheme="minorEastAsia" w:eastAsiaTheme="minorEastAsia"/>
          <w:sz w:val="24"/>
          <w:szCs w:val="24"/>
        </w:rPr>
        <w:t>在空载的情况下</w:t>
      </w:r>
      <w:r>
        <w:rPr>
          <w:rFonts w:hint="eastAsia" w:asciiTheme="minorEastAsia" w:hAnsiTheme="minorEastAsia" w:eastAsiaTheme="minorEastAsia"/>
          <w:sz w:val="24"/>
          <w:szCs w:val="24"/>
        </w:rPr>
        <w:t>，</w:t>
      </w:r>
      <w:r>
        <w:rPr>
          <w:rFonts w:asciiTheme="minorEastAsia" w:hAnsiTheme="minorEastAsia" w:eastAsiaTheme="minorEastAsia"/>
          <w:sz w:val="24"/>
          <w:szCs w:val="24"/>
        </w:rPr>
        <w:t>如果数字式指示装置的示值变动不大于一个增</w:t>
      </w:r>
      <w:r>
        <w:rPr>
          <w:rFonts w:hint="eastAsia" w:asciiTheme="minorEastAsia" w:hAnsiTheme="minorEastAsia" w:eastAsiaTheme="minorEastAsia"/>
          <w:sz w:val="24"/>
          <w:szCs w:val="24"/>
        </w:rPr>
        <w:t>量</w:t>
      </w:r>
      <w:r>
        <w:rPr>
          <w:rFonts w:asciiTheme="minorEastAsia" w:hAnsiTheme="minorEastAsia" w:eastAsiaTheme="minorEastAsia"/>
          <w:sz w:val="24"/>
          <w:szCs w:val="24"/>
        </w:rPr>
        <w:t xml:space="preserve">，则认为其分辨力 </w:t>
      </w:r>
      <w:r>
        <w:rPr>
          <w:rFonts w:asciiTheme="minorEastAsia" w:hAnsiTheme="minorEastAsia" w:eastAsiaTheme="minorEastAsia"/>
          <w:i/>
          <w:iCs/>
          <w:sz w:val="24"/>
          <w:szCs w:val="24"/>
        </w:rPr>
        <w:t xml:space="preserve">r </w:t>
      </w:r>
      <w:r>
        <w:rPr>
          <w:rFonts w:asciiTheme="minorEastAsia" w:hAnsiTheme="minorEastAsia" w:eastAsiaTheme="minorEastAsia"/>
          <w:sz w:val="24"/>
          <w:szCs w:val="24"/>
        </w:rPr>
        <w:t>为一个增</w:t>
      </w:r>
      <w:r>
        <w:rPr>
          <w:rFonts w:hint="eastAsia" w:asciiTheme="minorEastAsia" w:hAnsiTheme="minorEastAsia" w:eastAsiaTheme="minorEastAsia"/>
          <w:sz w:val="24"/>
          <w:szCs w:val="24"/>
        </w:rPr>
        <w:t>量</w:t>
      </w:r>
      <w:r>
        <w:rPr>
          <w:rFonts w:asciiTheme="minorEastAsia" w:hAnsiTheme="minorEastAsia" w:eastAsiaTheme="minorEastAsia"/>
          <w:sz w:val="24"/>
          <w:szCs w:val="24"/>
        </w:rPr>
        <w:t>。若示值变动大</w:t>
      </w:r>
      <w:r>
        <w:rPr>
          <w:rFonts w:hint="eastAsia" w:asciiTheme="minorEastAsia" w:hAnsiTheme="minorEastAsia" w:eastAsiaTheme="minorEastAsia"/>
          <w:sz w:val="24"/>
          <w:szCs w:val="24"/>
        </w:rPr>
        <w:t>于</w:t>
      </w:r>
      <w:r>
        <w:rPr>
          <w:rFonts w:asciiTheme="minorEastAsia" w:hAnsiTheme="minorEastAsia" w:eastAsiaTheme="minorEastAsia"/>
          <w:sz w:val="24"/>
          <w:szCs w:val="24"/>
        </w:rPr>
        <w:t>一个增</w:t>
      </w:r>
      <w:r>
        <w:rPr>
          <w:rFonts w:hint="eastAsia" w:asciiTheme="minorEastAsia" w:hAnsiTheme="minorEastAsia" w:eastAsiaTheme="minorEastAsia"/>
          <w:sz w:val="24"/>
          <w:szCs w:val="24"/>
        </w:rPr>
        <w:t>量</w:t>
      </w:r>
      <w:r>
        <w:rPr>
          <w:rFonts w:asciiTheme="minorEastAsia" w:hAnsiTheme="minorEastAsia" w:eastAsiaTheme="minorEastAsia"/>
          <w:sz w:val="24"/>
          <w:szCs w:val="24"/>
        </w:rPr>
        <w:t>，则认为此时的分辨力</w:t>
      </w:r>
      <w:r>
        <w:rPr>
          <w:rFonts w:asciiTheme="minorEastAsia" w:hAnsiTheme="minorEastAsia" w:eastAsiaTheme="minorEastAsia"/>
          <w:i/>
          <w:iCs/>
          <w:sz w:val="24"/>
          <w:szCs w:val="24"/>
        </w:rPr>
        <w:t>r</w:t>
      </w:r>
      <w:r>
        <w:rPr>
          <w:rFonts w:asciiTheme="minorEastAsia" w:hAnsiTheme="minorEastAsia" w:eastAsiaTheme="minorEastAsia"/>
          <w:sz w:val="24"/>
          <w:szCs w:val="24"/>
        </w:rPr>
        <w:t xml:space="preserve"> 等于变动范围的一半加上一个增</w:t>
      </w:r>
      <w:r>
        <w:rPr>
          <w:rFonts w:hint="eastAsia" w:asciiTheme="minorEastAsia" w:hAnsiTheme="minorEastAsia" w:eastAsiaTheme="minorEastAsia"/>
          <w:sz w:val="24"/>
          <w:szCs w:val="24"/>
        </w:rPr>
        <w:t>量</w:t>
      </w:r>
      <w:r>
        <w:rPr>
          <w:rFonts w:asciiTheme="minorEastAsia" w:hAnsiTheme="minorEastAsia" w:eastAsiaTheme="minorEastAsia"/>
          <w:sz w:val="24"/>
          <w:szCs w:val="24"/>
        </w:rPr>
        <w:t>。</w:t>
      </w:r>
    </w:p>
    <w:p w14:paraId="4FFDDC39">
      <w:pPr>
        <w:pStyle w:val="8"/>
        <w:spacing w:line="360" w:lineRule="auto"/>
        <w:ind w:firstLine="480"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t>模拟式指示器相对分辨力的判定：模拟式指示器的分辨力</w:t>
      </w:r>
      <w:r>
        <w:rPr>
          <w:rFonts w:cs="宋体" w:asciiTheme="minorEastAsia" w:hAnsiTheme="minorEastAsia" w:eastAsiaTheme="minorEastAsia"/>
          <w:i/>
          <w:iCs/>
          <w:sz w:val="24"/>
          <w:szCs w:val="24"/>
        </w:rPr>
        <w:t>r</w:t>
      </w:r>
      <w:r>
        <w:rPr>
          <w:rFonts w:cs="宋体" w:asciiTheme="minorEastAsia" w:hAnsiTheme="minorEastAsia" w:eastAsiaTheme="minorEastAsia"/>
          <w:sz w:val="24"/>
          <w:szCs w:val="24"/>
        </w:rPr>
        <w:t>为最小分度值的1/10或1/5。</w:t>
      </w:r>
    </w:p>
    <w:p w14:paraId="07BD63D8">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相对分辨力</w:t>
      </w:r>
      <w:r>
        <w:rPr>
          <w:rFonts w:hint="eastAsia" w:asciiTheme="minorEastAsia" w:hAnsiTheme="minorEastAsia" w:eastAsiaTheme="minorEastAsia"/>
          <w:i/>
          <w:iCs/>
          <w:sz w:val="24"/>
          <w:szCs w:val="24"/>
        </w:rPr>
        <w:t>R</w:t>
      </w:r>
      <w:r>
        <w:rPr>
          <w:rFonts w:hint="eastAsia" w:asciiTheme="minorEastAsia" w:hAnsiTheme="minorEastAsia" w:eastAsiaTheme="minorEastAsia"/>
          <w:i/>
          <w:iCs/>
          <w:sz w:val="24"/>
          <w:szCs w:val="24"/>
          <w:vertAlign w:val="subscript"/>
        </w:rPr>
        <w:t>es</w:t>
      </w:r>
      <w:r>
        <w:rPr>
          <w:rFonts w:asciiTheme="minorEastAsia" w:hAnsiTheme="minorEastAsia" w:eastAsiaTheme="minorEastAsia"/>
          <w:sz w:val="24"/>
          <w:szCs w:val="24"/>
        </w:rPr>
        <w:t>按公式(1) 或(2) 计</w:t>
      </w:r>
      <w:r>
        <w:rPr>
          <w:rFonts w:hint="eastAsia" w:asciiTheme="minorEastAsia" w:hAnsiTheme="minorEastAsia" w:eastAsiaTheme="minorEastAsia"/>
          <w:sz w:val="24"/>
          <w:szCs w:val="24"/>
        </w:rPr>
        <w:t>算</w:t>
      </w:r>
      <w:bookmarkStart w:id="35" w:name="_Hlk176287140"/>
      <w:r>
        <w:rPr>
          <w:rFonts w:asciiTheme="minorEastAsia" w:hAnsiTheme="minorEastAsia" w:eastAsiaTheme="minorEastAsia"/>
          <w:sz w:val="24"/>
          <w:szCs w:val="24"/>
        </w:rPr>
        <w:t>，</w:t>
      </w:r>
      <w:bookmarkEnd w:id="35"/>
      <w:r>
        <w:rPr>
          <w:rFonts w:asciiTheme="minorEastAsia" w:hAnsiTheme="minorEastAsia" w:eastAsiaTheme="minorEastAsia"/>
          <w:sz w:val="24"/>
          <w:szCs w:val="24"/>
        </w:rPr>
        <w:t>其结果应符合表</w:t>
      </w:r>
      <w:r>
        <w:rPr>
          <w:rFonts w:hint="eastAsia" w:asciiTheme="minorEastAsia" w:hAnsiTheme="minorEastAsia" w:eastAsiaTheme="minorEastAsia"/>
          <w:sz w:val="24"/>
          <w:szCs w:val="24"/>
        </w:rPr>
        <w:t>2</w:t>
      </w:r>
      <w:r>
        <w:rPr>
          <w:rFonts w:asciiTheme="minorEastAsia" w:hAnsiTheme="minorEastAsia" w:eastAsiaTheme="minorEastAsia"/>
          <w:sz w:val="24"/>
          <w:szCs w:val="24"/>
        </w:rPr>
        <w:t>或表</w:t>
      </w:r>
      <w:r>
        <w:rPr>
          <w:rFonts w:hint="eastAsia" w:asciiTheme="minorEastAsia" w:hAnsiTheme="minorEastAsia" w:eastAsiaTheme="minorEastAsia"/>
          <w:sz w:val="24"/>
          <w:szCs w:val="24"/>
        </w:rPr>
        <w:t>3</w:t>
      </w:r>
      <w:r>
        <w:rPr>
          <w:rFonts w:asciiTheme="minorEastAsia" w:hAnsiTheme="minorEastAsia" w:eastAsiaTheme="minorEastAsia"/>
          <w:sz w:val="24"/>
          <w:szCs w:val="24"/>
        </w:rPr>
        <w:t>的要求。</w:t>
      </w:r>
    </w:p>
    <w:p w14:paraId="7CECE1DE">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指示器以力值为单位时</w:t>
      </w:r>
    </w:p>
    <w:p w14:paraId="1772D792">
      <w:pPr>
        <w:pStyle w:val="19"/>
        <w:spacing w:line="360" w:lineRule="auto"/>
        <w:ind w:firstLine="480"/>
        <w:jc w:val="center"/>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R</m:t>
            </m:r>
            <m:ctrlPr>
              <w:rPr>
                <w:rFonts w:ascii="Cambria Math" w:hAnsiTheme="minorEastAsia" w:eastAsiaTheme="minorEastAsia"/>
                <w:i/>
                <w:sz w:val="24"/>
                <w:szCs w:val="24"/>
              </w:rPr>
            </m:ctrlPr>
          </m:e>
          <m:sub>
            <m:r>
              <m:rPr/>
              <w:rPr>
                <w:rFonts w:ascii="Cambria Math" w:hAnsiTheme="minorEastAsia" w:eastAsiaTheme="minorEastAsia"/>
                <w:sz w:val="24"/>
                <w:szCs w:val="24"/>
              </w:rPr>
              <m:t>es</m:t>
            </m:r>
            <m:ctrlPr>
              <w:rPr>
                <w:rFonts w:ascii="Cambria Math" w:hAnsiTheme="minorEastAsia" w:eastAsiaTheme="minorEastAsia"/>
                <w:i/>
                <w:sz w:val="24"/>
                <w:szCs w:val="24"/>
              </w:rPr>
            </m:ctrlPr>
          </m:sub>
        </m:sSub>
        <m:r>
          <m:rPr/>
          <w:rPr>
            <w:rFonts w:ascii="Cambria Math" w:hAnsiTheme="minorEastAsia" w:eastAsiaTheme="minorEastAsia"/>
            <w:sz w:val="24"/>
            <w:szCs w:val="24"/>
          </w:rPr>
          <m:t>=</m:t>
        </m:r>
        <m:f>
          <m:fPr>
            <m:ctrlPr>
              <w:rPr>
                <w:rFonts w:ascii="Cambria Math" w:hAnsiTheme="minorEastAsia" w:eastAsiaTheme="minorEastAsia"/>
                <w:i/>
                <w:sz w:val="24"/>
                <w:szCs w:val="24"/>
              </w:rPr>
            </m:ctrlPr>
          </m:fPr>
          <m:num>
            <m:r>
              <m:rPr/>
              <w:rPr>
                <w:rFonts w:ascii="Cambria Math" w:hAnsiTheme="minorEastAsia" w:eastAsiaTheme="minorEastAsia"/>
                <w:sz w:val="24"/>
                <w:szCs w:val="24"/>
              </w:rPr>
              <m:t>r</m:t>
            </m:r>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(1)</w:t>
      </w:r>
    </w:p>
    <w:p w14:paraId="1BDB0FE0">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1B01D096">
      <w:pPr>
        <w:pStyle w:val="19"/>
        <w:spacing w:line="360" w:lineRule="auto"/>
        <w:ind w:firstLine="1200" w:firstLineChars="500"/>
        <w:jc w:val="left"/>
        <w:rPr>
          <w:rFonts w:asciiTheme="minorEastAsia" w:hAnsiTheme="minorEastAsia" w:eastAsiaTheme="minorEastAsia"/>
          <w:sz w:val="24"/>
          <w:szCs w:val="24"/>
        </w:rPr>
      </w:pPr>
      <m:oMath>
        <m:r>
          <m:rPr/>
          <w:rPr>
            <w:rFonts w:ascii="Cambria Math" w:hAnsiTheme="minorEastAsia" w:eastAsiaTheme="minorEastAsia"/>
            <w:sz w:val="24"/>
            <w:szCs w:val="24"/>
          </w:rPr>
          <m:t>r</m:t>
        </m:r>
      </m:oMath>
      <w:r>
        <w:rPr>
          <w:rFonts w:hint="eastAsia" w:asciiTheme="minorEastAsia" w:hAnsiTheme="minorEastAsia" w:eastAsiaTheme="minorEastAsia"/>
          <w:sz w:val="24"/>
          <w:szCs w:val="24"/>
        </w:rPr>
        <w:t>---指示器分辨力，kN</w:t>
      </w:r>
    </w:p>
    <w:p w14:paraId="0CBEC1D6">
      <w:pPr>
        <w:pStyle w:val="19"/>
        <w:spacing w:line="360" w:lineRule="auto"/>
        <w:ind w:firstLine="1200" w:firstLineChars="50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---压力机额定力值，kN</w:t>
      </w:r>
    </w:p>
    <w:p w14:paraId="523A05D9">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指示器以压力值为单位时</w:t>
      </w:r>
    </w:p>
    <w:p w14:paraId="5E58ED6E">
      <w:pPr>
        <w:pStyle w:val="19"/>
        <w:spacing w:line="360" w:lineRule="auto"/>
        <w:ind w:firstLine="480"/>
        <w:jc w:val="cente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R</m:t>
            </m:r>
            <m:ctrlPr>
              <w:rPr>
                <w:rFonts w:ascii="Cambria Math" w:hAnsiTheme="minorEastAsia" w:eastAsiaTheme="minorEastAsia"/>
                <w:i/>
                <w:sz w:val="24"/>
                <w:szCs w:val="24"/>
              </w:rPr>
            </m:ctrlPr>
          </m:e>
          <m:sub>
            <m:r>
              <m:rPr/>
              <w:rPr>
                <w:rFonts w:ascii="Cambria Math" w:hAnsiTheme="minorEastAsia" w:eastAsiaTheme="minorEastAsia"/>
                <w:sz w:val="24"/>
                <w:szCs w:val="24"/>
              </w:rPr>
              <m:t>es</m:t>
            </m:r>
            <m:ctrlPr>
              <w:rPr>
                <w:rFonts w:ascii="Cambria Math" w:hAnsiTheme="minorEastAsia" w:eastAsiaTheme="minorEastAsia"/>
                <w:i/>
                <w:sz w:val="24"/>
                <w:szCs w:val="24"/>
              </w:rPr>
            </m:ctrlPr>
          </m:sub>
        </m:sSub>
        <m:r>
          <m:rPr/>
          <w:rPr>
            <w:rFonts w:ascii="Cambria Math" w:hAnsiTheme="minorEastAsia" w:eastAsiaTheme="minorEastAsia"/>
            <w:sz w:val="24"/>
            <w:szCs w:val="24"/>
          </w:rPr>
          <m:t>=</m:t>
        </m:r>
        <m:f>
          <m:fPr>
            <m:ctrlPr>
              <w:rPr>
                <w:rFonts w:ascii="Cambria Math" w:hAnsiTheme="minorEastAsia" w:eastAsiaTheme="minorEastAsia"/>
                <w:i/>
                <w:sz w:val="24"/>
                <w:szCs w:val="24"/>
              </w:rPr>
            </m:ctrlPr>
          </m:fPr>
          <m:num>
            <m:r>
              <m:rPr/>
              <w:rPr>
                <w:rFonts w:ascii="Cambria Math" w:hAnsiTheme="minorEastAsia" w:eastAsiaTheme="minorEastAsia"/>
                <w:sz w:val="24"/>
                <w:szCs w:val="24"/>
              </w:rPr>
              <m:t>r</m:t>
            </m:r>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w:t>
      </w:r>
      <w:r>
        <w:rPr>
          <w:rFonts w:hint="eastAsia" w:asciiTheme="minorEastAsia" w:hAnsiTheme="minorEastAsia" w:eastAsiaTheme="minorEastAsia"/>
        </w:rPr>
        <w:t xml:space="preserve">      </w:t>
      </w:r>
      <w:r>
        <w:rPr>
          <w:rFonts w:hint="eastAsia"/>
        </w:rPr>
        <w:t xml:space="preserve">              (2)</w:t>
      </w:r>
    </w:p>
    <w:p w14:paraId="7AD1DB1F">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6E9BD3F2">
      <w:pPr>
        <w:pStyle w:val="19"/>
        <w:spacing w:line="360" w:lineRule="auto"/>
        <w:ind w:firstLine="1200" w:firstLineChars="500"/>
        <w:jc w:val="left"/>
        <w:rPr>
          <w:rFonts w:asciiTheme="minorEastAsia" w:hAnsiTheme="minorEastAsia" w:eastAsiaTheme="minorEastAsia"/>
          <w:sz w:val="24"/>
          <w:szCs w:val="24"/>
        </w:rPr>
      </w:pPr>
      <m:oMath>
        <m:r>
          <m:rPr/>
          <w:rPr>
            <w:rFonts w:ascii="Cambria Math" w:hAnsiTheme="minorEastAsia" w:eastAsiaTheme="minorEastAsia"/>
            <w:sz w:val="24"/>
            <w:szCs w:val="24"/>
          </w:rPr>
          <m:t>r</m:t>
        </m:r>
      </m:oMath>
      <w:r>
        <w:rPr>
          <w:rFonts w:hint="eastAsia" w:asciiTheme="minorEastAsia" w:hAnsiTheme="minorEastAsia" w:eastAsiaTheme="minorEastAsia"/>
          <w:sz w:val="24"/>
          <w:szCs w:val="24"/>
        </w:rPr>
        <w:t>---指示器分辨力，MPa</w:t>
      </w:r>
    </w:p>
    <w:p w14:paraId="683E86D6">
      <w:pPr>
        <w:pStyle w:val="19"/>
        <w:spacing w:line="360" w:lineRule="auto"/>
        <w:ind w:firstLine="1200" w:firstLineChars="50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---压力机额定压力值，MPa</w:t>
      </w:r>
    </w:p>
    <w:p w14:paraId="61300DF2">
      <w:pPr>
        <w:pStyle w:val="19"/>
        <w:spacing w:line="360" w:lineRule="auto"/>
        <w:ind w:firstLine="0" w:firstLineChars="0"/>
        <w:jc w:val="left"/>
        <w:rPr>
          <w:rFonts w:asciiTheme="minorEastAsia" w:hAnsiTheme="minorEastAsia" w:eastAsiaTheme="minorEastAsia"/>
          <w:sz w:val="24"/>
          <w:szCs w:val="24"/>
        </w:rPr>
      </w:pPr>
      <w:r>
        <w:rPr>
          <w:rFonts w:hint="eastAsia" w:asciiTheme="minorEastAsia" w:hAnsiTheme="minorEastAsia" w:eastAsiaTheme="minorEastAsia"/>
          <w:sz w:val="24"/>
          <w:szCs w:val="24"/>
        </w:rPr>
        <w:t>7.2.4 零点漂移的校准</w:t>
      </w:r>
    </w:p>
    <w:p w14:paraId="08CF3961">
      <w:pPr>
        <w:pStyle w:val="8"/>
        <w:spacing w:line="360" w:lineRule="auto"/>
        <w:ind w:left="420" w:leftChars="200" w:firstLine="480" w:firstLineChars="200"/>
        <w:rPr>
          <w:rFonts w:asciiTheme="minorEastAsia" w:hAnsiTheme="minorEastAsia" w:eastAsiaTheme="minorEastAsia"/>
          <w:sz w:val="24"/>
          <w:szCs w:val="24"/>
        </w:rPr>
      </w:pPr>
      <w:r>
        <w:rPr>
          <w:rFonts w:cs="宋体" w:asciiTheme="minorEastAsia" w:hAnsiTheme="minorEastAsia" w:eastAsiaTheme="minorEastAsia"/>
          <w:sz w:val="24"/>
          <w:szCs w:val="24"/>
        </w:rPr>
        <w:t>压力机通电预热 15 min,使其处于正常工作状态，并置零，每隔 3 min 读取一个显示值，</w:t>
      </w:r>
      <w:r>
        <w:rPr>
          <w:rFonts w:asciiTheme="minorEastAsia" w:hAnsiTheme="minorEastAsia" w:eastAsiaTheme="minorEastAsia"/>
          <w:sz w:val="24"/>
          <w:szCs w:val="24"/>
        </w:rPr>
        <w:t>15 min 内的最大值和最小值之差,通过公式</w:t>
      </w:r>
      <w:r>
        <w:rPr>
          <w:rFonts w:hint="eastAsia" w:asciiTheme="minorEastAsia" w:hAnsiTheme="minorEastAsia" w:eastAsiaTheme="minorEastAsia"/>
          <w:sz w:val="24"/>
          <w:szCs w:val="24"/>
        </w:rPr>
        <w:t>(3)或(4)</w:t>
      </w:r>
      <w:r>
        <w:rPr>
          <w:rFonts w:asciiTheme="minorEastAsia" w:hAnsiTheme="minorEastAsia" w:eastAsiaTheme="minorEastAsia"/>
          <w:sz w:val="24"/>
          <w:szCs w:val="24"/>
        </w:rPr>
        <w:t>计算出零点漂移</w:t>
      </w:r>
      <m:oMath>
        <m:r>
          <m:rPr/>
          <w:rPr>
            <w:rFonts w:ascii="Cambria Math" w:hAnsiTheme="minorEastAsia" w:eastAsiaTheme="minorEastAsia"/>
            <w:sz w:val="24"/>
            <w:szCs w:val="24"/>
          </w:rPr>
          <m:t>Z</m:t>
        </m:r>
      </m:oMath>
      <w:r>
        <w:rPr>
          <w:rFonts w:asciiTheme="minorEastAsia" w:hAnsiTheme="minorEastAsia" w:eastAsiaTheme="minorEastAsia"/>
          <w:sz w:val="24"/>
          <w:szCs w:val="24"/>
        </w:rPr>
        <w:t xml:space="preserve"> ,应符合表</w:t>
      </w:r>
      <w:r>
        <w:rPr>
          <w:rFonts w:hint="eastAsia" w:asciiTheme="minorEastAsia" w:hAnsiTheme="minorEastAsia" w:eastAsiaTheme="minorEastAsia"/>
          <w:sz w:val="24"/>
          <w:szCs w:val="24"/>
        </w:rPr>
        <w:t>2</w:t>
      </w:r>
      <w:r>
        <w:rPr>
          <w:rFonts w:asciiTheme="minorEastAsia" w:hAnsiTheme="minorEastAsia" w:eastAsiaTheme="minorEastAsia"/>
          <w:sz w:val="24"/>
          <w:szCs w:val="24"/>
        </w:rPr>
        <w:t>的要求。</w:t>
      </w:r>
    </w:p>
    <w:p w14:paraId="2F8A4A2A">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指示器以力值为单位时：</w:t>
      </w:r>
    </w:p>
    <w:p w14:paraId="518362F6">
      <w:pPr>
        <w:pStyle w:val="8"/>
        <w:spacing w:line="360" w:lineRule="auto"/>
        <w:ind w:left="420" w:leftChars="200"/>
        <w:rPr>
          <w:rFonts w:asciiTheme="minorEastAsia" w:hAnsiTheme="minorEastAsia" w:eastAsiaTheme="minorEastAsia"/>
          <w:sz w:val="24"/>
          <w:szCs w:val="24"/>
        </w:rPr>
      </w:pPr>
    </w:p>
    <w:p w14:paraId="4D9031CE">
      <w:pPr>
        <w:pStyle w:val="8"/>
        <w:spacing w:line="360" w:lineRule="auto"/>
        <w:ind w:left="420" w:leftChars="200"/>
        <w:jc w:val="center"/>
        <w:rPr>
          <w:rFonts w:asciiTheme="minorEastAsia" w:hAnsiTheme="minorEastAsia" w:eastAsiaTheme="minorEastAsia"/>
          <w:sz w:val="24"/>
          <w:szCs w:val="24"/>
        </w:rPr>
      </w:pPr>
      <m:oMath>
        <m:r>
          <m:rPr/>
          <w:rPr>
            <w:rFonts w:ascii="Cambria Math" w:hAnsiTheme="minorEastAsia" w:eastAsiaTheme="minorEastAsia"/>
            <w:sz w:val="24"/>
            <w:szCs w:val="24"/>
          </w:rPr>
          <m:t>Z=</m:t>
        </m:r>
        <m:f>
          <m:fPr>
            <m:ctrlPr>
              <w:rPr>
                <w:rFonts w:ascii="Cambria Math" w:hAnsiTheme="minorEastAsia" w:eastAsiaTheme="minorEastAsia"/>
                <w:i/>
                <w:sz w:val="24"/>
                <w:szCs w:val="24"/>
              </w:rPr>
            </m:ctrlPr>
          </m:fPr>
          <m:num>
            <m:r>
              <m:rPr/>
              <w:rPr>
                <w:rFonts w:ascii="Cambria Math" w:hAnsiTheme="minorEastAsia" w:eastAsiaTheme="minorEastAsia"/>
                <w:sz w:val="24"/>
                <w:szCs w:val="24"/>
              </w:rPr>
              <m:t>f</m:t>
            </m:r>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(3)</w:t>
      </w:r>
    </w:p>
    <w:p w14:paraId="682CCC81">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3E3B7096">
      <w:pPr>
        <w:pStyle w:val="19"/>
        <w:spacing w:line="360" w:lineRule="auto"/>
        <w:ind w:firstLine="1200" w:firstLineChars="500"/>
        <w:jc w:val="left"/>
        <w:rPr>
          <w:rFonts w:asciiTheme="minorEastAsia" w:hAnsiTheme="minorEastAsia" w:eastAsiaTheme="minorEastAsia"/>
          <w:sz w:val="24"/>
          <w:szCs w:val="24"/>
        </w:rPr>
      </w:pPr>
      <m:oMath>
        <m:r>
          <m:rPr/>
          <w:rPr>
            <w:rFonts w:ascii="Cambria Math" w:hAnsiTheme="minorEastAsia" w:eastAsiaTheme="minorEastAsia"/>
            <w:sz w:val="24"/>
            <w:szCs w:val="24"/>
          </w:rPr>
          <m:t>f</m:t>
        </m:r>
      </m:oMath>
      <w:r>
        <w:rPr>
          <w:rFonts w:hint="eastAsia" w:asciiTheme="minorEastAsia" w:hAnsiTheme="minorEastAsia" w:eastAsiaTheme="minorEastAsia"/>
          <w:sz w:val="24"/>
          <w:szCs w:val="24"/>
        </w:rPr>
        <w:t>---压力机15分钟内最大值和最小值之差,</w:t>
      </w:r>
    </w:p>
    <w:p w14:paraId="7DD92F90">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7.2.5 回零差的校准</w:t>
      </w:r>
    </w:p>
    <w:p w14:paraId="5737191E">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加力至压力机的额定值，卸至零负荷约 30 s 后记录零点。按公式</w:t>
      </w:r>
      <w:r>
        <w:rPr>
          <w:rFonts w:hint="eastAsia" w:asciiTheme="minorEastAsia" w:hAnsiTheme="minorEastAsia" w:eastAsiaTheme="minorEastAsia"/>
          <w:sz w:val="24"/>
          <w:szCs w:val="24"/>
        </w:rPr>
        <w:t>(5)或公式(6)计算压力机的回零差</w:t>
      </w:r>
      <w:r>
        <w:rPr>
          <w:rFonts w:asciiTheme="minorEastAsia" w:hAnsiTheme="minorEastAsia" w:eastAsiaTheme="minorEastAsia"/>
          <w:sz w:val="24"/>
          <w:szCs w:val="24"/>
        </w:rPr>
        <w:t>，其结果应满足表</w:t>
      </w:r>
      <w:r>
        <w:rPr>
          <w:rFonts w:hint="eastAsia" w:asciiTheme="minorEastAsia" w:hAnsiTheme="minorEastAsia" w:eastAsiaTheme="minorEastAsia"/>
          <w:sz w:val="24"/>
          <w:szCs w:val="24"/>
        </w:rPr>
        <w:t>2</w:t>
      </w:r>
      <w:r>
        <w:rPr>
          <w:rFonts w:asciiTheme="minorEastAsia" w:hAnsiTheme="minorEastAsia" w:eastAsiaTheme="minorEastAsia"/>
          <w:sz w:val="24"/>
          <w:szCs w:val="24"/>
        </w:rPr>
        <w:t>或表</w:t>
      </w:r>
      <w:r>
        <w:rPr>
          <w:rFonts w:hint="eastAsia" w:asciiTheme="minorEastAsia" w:hAnsiTheme="minorEastAsia" w:eastAsiaTheme="minorEastAsia"/>
          <w:sz w:val="24"/>
          <w:szCs w:val="24"/>
        </w:rPr>
        <w:t>3</w:t>
      </w:r>
      <w:r>
        <w:rPr>
          <w:rFonts w:asciiTheme="minorEastAsia" w:hAnsiTheme="minorEastAsia" w:eastAsiaTheme="minorEastAsia"/>
          <w:sz w:val="24"/>
          <w:szCs w:val="24"/>
        </w:rPr>
        <w:t>的要求。</w:t>
      </w:r>
    </w:p>
    <w:p w14:paraId="7E249173">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指示器以力值为单位时：</w:t>
      </w:r>
    </w:p>
    <w:p w14:paraId="4A74265F">
      <w:pPr>
        <w:pStyle w:val="19"/>
        <w:spacing w:line="360" w:lineRule="auto"/>
        <w:ind w:firstLine="480"/>
        <w:jc w:val="center"/>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0</m:t>
            </m:r>
            <m:ctrlPr>
              <w:rPr>
                <w:rFonts w:ascii="Cambria Math" w:hAnsiTheme="minorEastAsia" w:eastAsiaTheme="minorEastAsia"/>
                <w:i/>
                <w:sz w:val="24"/>
                <w:szCs w:val="24"/>
              </w:rPr>
            </m:ctrlPr>
          </m:sub>
        </m:sSub>
        <m:r>
          <m:rPr/>
          <w:rPr>
            <w:rFonts w:ascii="Cambria Math" w:hAnsiTheme="minorEastAsia" w:eastAsiaTheme="minorEastAsia"/>
            <w:sz w:val="24"/>
            <w:szCs w:val="24"/>
          </w:rPr>
          <m:t>=</m:t>
        </m:r>
        <m:f>
          <m:fPr>
            <m:ctrlPr>
              <w:rPr>
                <w:rFonts w:ascii="Cambria Math" w:hAnsiTheme="minorEastAsia" w:eastAsiaTheme="minorEastAsia"/>
                <w:i/>
                <w:sz w:val="24"/>
                <w:szCs w:val="24"/>
              </w:rPr>
            </m:ctrlPr>
          </m:fPr>
          <m:num>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0</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(4)</w:t>
      </w:r>
    </w:p>
    <w:p w14:paraId="4BEC8FC4">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6311B4D3">
      <w:pPr>
        <w:pStyle w:val="19"/>
        <w:spacing w:line="360" w:lineRule="auto"/>
        <w:ind w:firstLine="1200" w:firstLineChars="50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0</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---卸除负荷后，压力机力值示值,kN。</w:t>
      </w:r>
    </w:p>
    <w:p w14:paraId="012C1C03">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指示器以压力值为单位时：</w:t>
      </w:r>
    </w:p>
    <w:p w14:paraId="04F10EE4">
      <w:pPr>
        <w:pStyle w:val="19"/>
        <w:spacing w:line="360" w:lineRule="auto"/>
        <w:ind w:firstLine="480"/>
        <w:jc w:val="center"/>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0</m:t>
            </m:r>
            <m:ctrlPr>
              <w:rPr>
                <w:rFonts w:ascii="Cambria Math" w:hAnsiTheme="minorEastAsia" w:eastAsiaTheme="minorEastAsia"/>
                <w:i/>
                <w:sz w:val="24"/>
                <w:szCs w:val="24"/>
              </w:rPr>
            </m:ctrlPr>
          </m:sub>
        </m:sSub>
        <m:r>
          <m:rPr/>
          <w:rPr>
            <w:rFonts w:ascii="Cambria Math" w:hAnsiTheme="minorEastAsia" w:eastAsiaTheme="minorEastAsia"/>
            <w:sz w:val="24"/>
            <w:szCs w:val="24"/>
          </w:rPr>
          <m:t>=</m:t>
        </m:r>
        <m:f>
          <m:fPr>
            <m:ctrlPr>
              <w:rPr>
                <w:rFonts w:ascii="Cambria Math" w:hAnsiTheme="minorEastAsia" w:eastAsiaTheme="minorEastAsia"/>
                <w:i/>
                <w:sz w:val="24"/>
                <w:szCs w:val="24"/>
              </w:rPr>
            </m:ctrlPr>
          </m:fPr>
          <m:num>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0</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N</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(5)</w:t>
      </w:r>
    </w:p>
    <w:p w14:paraId="249AA65B">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25F5BE87">
      <w:pPr>
        <w:pStyle w:val="19"/>
        <w:spacing w:line="360" w:lineRule="auto"/>
        <w:ind w:firstLine="1200" w:firstLineChars="50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0</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---卸除压力后，压力机压力示值,MPa，</w:t>
      </w:r>
    </w:p>
    <w:p w14:paraId="3D6C7DA7">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7.2.6 内泄漏的校准</w:t>
      </w:r>
    </w:p>
    <w:p w14:paraId="63E6D365">
      <w:pPr>
        <w:pStyle w:val="19"/>
        <w:spacing w:line="360" w:lineRule="auto"/>
        <w:ind w:firstLine="480"/>
        <w:rPr>
          <w:rFonts w:asciiTheme="minorEastAsia" w:hAnsiTheme="minorEastAsia" w:eastAsiaTheme="minorEastAsia"/>
          <w:sz w:val="24"/>
          <w:szCs w:val="24"/>
        </w:rPr>
      </w:pPr>
      <w:r>
        <w:rPr>
          <w:rFonts w:asciiTheme="minorEastAsia" w:hAnsiTheme="minorEastAsia" w:eastAsiaTheme="minorEastAsia"/>
          <w:sz w:val="24"/>
          <w:szCs w:val="24"/>
        </w:rPr>
        <w:t>将压力机活塞伸出其有效行程约2/3处，加压至满</w:t>
      </w:r>
      <w:r>
        <w:rPr>
          <w:rFonts w:hint="eastAsia" w:asciiTheme="minorEastAsia" w:hAnsiTheme="minorEastAsia" w:eastAsiaTheme="minorEastAsia"/>
          <w:sz w:val="24"/>
          <w:szCs w:val="24"/>
        </w:rPr>
        <w:t>量</w:t>
      </w:r>
      <w:r>
        <w:rPr>
          <w:rFonts w:asciiTheme="minorEastAsia" w:hAnsiTheme="minorEastAsia" w:eastAsiaTheme="minorEastAsia"/>
          <w:sz w:val="24"/>
          <w:szCs w:val="24"/>
        </w:rPr>
        <w:t>程读取</w:t>
      </w:r>
      <w:r>
        <w:rPr>
          <w:rFonts w:hint="eastAsia" w:asciiTheme="minorEastAsia" w:hAnsiTheme="minorEastAsia" w:eastAsiaTheme="minorEastAsia"/>
          <w:sz w:val="24"/>
          <w:szCs w:val="24"/>
        </w:rPr>
        <w:t>5分钟</w:t>
      </w:r>
      <w:r>
        <w:rPr>
          <w:rFonts w:asciiTheme="minorEastAsia" w:hAnsiTheme="minorEastAsia" w:eastAsiaTheme="minorEastAsia"/>
          <w:sz w:val="24"/>
          <w:szCs w:val="24"/>
        </w:rPr>
        <w:t>内其指示器的最大</w:t>
      </w:r>
      <w:r>
        <w:rPr>
          <w:rFonts w:hint="eastAsia" w:asciiTheme="minorEastAsia" w:hAnsiTheme="minorEastAsia" w:eastAsiaTheme="minorEastAsia"/>
          <w:sz w:val="24"/>
          <w:szCs w:val="24"/>
        </w:rPr>
        <w:t>变</w:t>
      </w:r>
      <w:r>
        <w:rPr>
          <w:rFonts w:asciiTheme="minorEastAsia" w:hAnsiTheme="minorEastAsia" w:eastAsiaTheme="minorEastAsia"/>
          <w:sz w:val="24"/>
          <w:szCs w:val="24"/>
        </w:rPr>
        <w:t>化值，按公式</w:t>
      </w:r>
      <w:r>
        <w:rPr>
          <w:rFonts w:hint="eastAsia" w:asciiTheme="minorEastAsia" w:hAnsiTheme="minorEastAsia" w:eastAsiaTheme="minorEastAsia"/>
          <w:sz w:val="24"/>
          <w:szCs w:val="24"/>
        </w:rPr>
        <w:t>(6)或(7)</w:t>
      </w:r>
      <w:r>
        <w:rPr>
          <w:rFonts w:asciiTheme="minorEastAsia" w:hAnsiTheme="minorEastAsia" w:eastAsiaTheme="minorEastAsia"/>
          <w:sz w:val="24"/>
          <w:szCs w:val="24"/>
        </w:rPr>
        <w:t>计算内泄露</w:t>
      </w: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L</m:t>
            </m:r>
            <m:ctrlPr>
              <w:rPr>
                <w:rFonts w:ascii="Cambria Math" w:hAnsiTheme="minorEastAsia" w:eastAsiaTheme="minorEastAsia"/>
                <w:i/>
                <w:sz w:val="24"/>
                <w:szCs w:val="24"/>
              </w:rPr>
            </m:ctrlPr>
          </m:e>
          <m:sub>
            <m:r>
              <m:rPr/>
              <w:rPr>
                <w:rFonts w:ascii="Cambria Math" w:hAnsiTheme="minorEastAsia" w:eastAsiaTheme="minorEastAsia"/>
                <w:sz w:val="24"/>
                <w:szCs w:val="24"/>
              </w:rPr>
              <m:t>k</m:t>
            </m:r>
            <m:ctrlPr>
              <w:rPr>
                <w:rFonts w:ascii="Cambria Math" w:hAnsiTheme="minorEastAsia" w:eastAsiaTheme="minorEastAsia"/>
                <w:i/>
                <w:sz w:val="24"/>
                <w:szCs w:val="24"/>
              </w:rPr>
            </m:ctrlPr>
          </m:sub>
        </m:sSub>
      </m:oMath>
      <w:r>
        <w:rPr>
          <w:rFonts w:asciiTheme="minorEastAsia" w:hAnsiTheme="minorEastAsia" w:eastAsiaTheme="minorEastAsia"/>
          <w:sz w:val="24"/>
          <w:szCs w:val="24"/>
        </w:rPr>
        <w:t>,其结果应满足表</w:t>
      </w:r>
      <w:r>
        <w:rPr>
          <w:rFonts w:hint="eastAsia" w:asciiTheme="minorEastAsia" w:hAnsiTheme="minorEastAsia" w:eastAsiaTheme="minorEastAsia"/>
          <w:sz w:val="24"/>
          <w:szCs w:val="24"/>
        </w:rPr>
        <w:t>2</w:t>
      </w:r>
      <w:r>
        <w:rPr>
          <w:rFonts w:asciiTheme="minorEastAsia" w:hAnsiTheme="minorEastAsia" w:eastAsiaTheme="minorEastAsia"/>
          <w:sz w:val="24"/>
          <w:szCs w:val="24"/>
        </w:rPr>
        <w:t>或表</w:t>
      </w:r>
      <w:r>
        <w:rPr>
          <w:rFonts w:hint="eastAsia" w:asciiTheme="minorEastAsia" w:hAnsiTheme="minorEastAsia" w:eastAsiaTheme="minorEastAsia"/>
          <w:sz w:val="24"/>
          <w:szCs w:val="24"/>
        </w:rPr>
        <w:t>3</w:t>
      </w:r>
      <w:r>
        <w:rPr>
          <w:rFonts w:asciiTheme="minorEastAsia" w:hAnsiTheme="minorEastAsia" w:eastAsiaTheme="minorEastAsia"/>
          <w:sz w:val="24"/>
          <w:szCs w:val="24"/>
        </w:rPr>
        <w:t>的</w:t>
      </w:r>
      <w:r>
        <w:rPr>
          <w:rFonts w:hint="eastAsia" w:asciiTheme="minorEastAsia" w:hAnsiTheme="minorEastAsia" w:eastAsiaTheme="minorEastAsia"/>
          <w:sz w:val="24"/>
          <w:szCs w:val="24"/>
        </w:rPr>
        <w:t>要求。</w:t>
      </w:r>
    </w:p>
    <w:p w14:paraId="651A80AA">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指示器以力值为单位时：</w:t>
      </w:r>
    </w:p>
    <w:p w14:paraId="5572FF44">
      <w:pPr>
        <w:pStyle w:val="19"/>
        <w:spacing w:line="360" w:lineRule="auto"/>
        <w:ind w:firstLine="480"/>
        <w:jc w:val="center"/>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L</m:t>
            </m:r>
            <m:ctrlPr>
              <w:rPr>
                <w:rFonts w:ascii="Cambria Math" w:hAnsiTheme="minorEastAsia" w:eastAsiaTheme="minorEastAsia"/>
                <w:i/>
                <w:sz w:val="24"/>
                <w:szCs w:val="24"/>
              </w:rPr>
            </m:ctrlPr>
          </m:e>
          <m:sub>
            <m:r>
              <m:rPr/>
              <w:rPr>
                <w:rFonts w:ascii="Cambria Math" w:hAnsiTheme="minorEastAsia" w:eastAsiaTheme="minorEastAsia"/>
                <w:sz w:val="24"/>
                <w:szCs w:val="24"/>
              </w:rPr>
              <m:t>k</m:t>
            </m:r>
            <m:ctrlPr>
              <w:rPr>
                <w:rFonts w:ascii="Cambria Math" w:hAnsiTheme="minorEastAsia" w:eastAsiaTheme="minorEastAsia"/>
                <w:i/>
                <w:sz w:val="24"/>
                <w:szCs w:val="24"/>
              </w:rPr>
            </m:ctrlPr>
          </m:sub>
        </m:sSub>
        <m:r>
          <m:rPr/>
          <w:rPr>
            <w:rFonts w:ascii="Cambria Math" w:hAnsiTheme="minorEastAsia" w:eastAsiaTheme="minorEastAsia"/>
            <w:sz w:val="24"/>
            <w:szCs w:val="24"/>
          </w:rPr>
          <m:t>=</m:t>
        </m:r>
        <m:f>
          <m:fPr>
            <m:ctrlPr>
              <w:rPr>
                <w:rFonts w:ascii="Cambria Math" w:hAnsiTheme="minorEastAsia" w:eastAsiaTheme="minorEastAsia"/>
                <w:i/>
                <w:sz w:val="24"/>
                <w:szCs w:val="24"/>
              </w:rPr>
            </m:ctrlPr>
          </m:fPr>
          <m:num>
            <m:r>
              <m:rPr/>
              <w:rPr>
                <w:rFonts w:ascii="Cambria Math" w:hAnsiTheme="minorEastAsia" w:eastAsiaTheme="minorEastAsia"/>
                <w:sz w:val="24"/>
                <w:szCs w:val="24"/>
              </w:rPr>
              <m:t>ΔF</m:t>
            </m:r>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max</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oMath>
      <w:r>
        <w:rPr>
          <w:rFonts w:hint="eastAsia" w:asciiTheme="minorEastAsia" w:hAnsiTheme="minorEastAsia" w:eastAsiaTheme="minorEastAsia"/>
          <w:sz w:val="24"/>
          <w:szCs w:val="24"/>
        </w:rPr>
        <w:t xml:space="preserve">                               (6)</w:t>
      </w:r>
    </w:p>
    <w:p w14:paraId="1CC40F2D">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18E72205">
      <w:pPr>
        <w:pStyle w:val="19"/>
        <w:spacing w:line="360" w:lineRule="auto"/>
        <w:ind w:firstLine="48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max</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---压力机显示的最大力值，kN</w:t>
      </w:r>
    </w:p>
    <w:p w14:paraId="6FEBEE9F">
      <w:pPr>
        <w:pStyle w:val="19"/>
        <w:spacing w:line="360" w:lineRule="auto"/>
        <w:ind w:firstLine="480"/>
        <w:jc w:val="left"/>
        <w:rPr>
          <w:rFonts w:asciiTheme="minorEastAsia" w:hAnsiTheme="minorEastAsia" w:eastAsiaTheme="minorEastAsia"/>
          <w:sz w:val="24"/>
          <w:szCs w:val="24"/>
        </w:rPr>
      </w:pPr>
      <m:oMath>
        <m:r>
          <m:rPr/>
          <w:rPr>
            <w:rFonts w:ascii="Cambria Math" w:hAnsiTheme="minorEastAsia" w:eastAsiaTheme="minorEastAsia"/>
            <w:sz w:val="24"/>
            <w:szCs w:val="24"/>
          </w:rPr>
          <m:t>ΔF</m:t>
        </m:r>
      </m:oMath>
      <w:r>
        <w:rPr>
          <w:rFonts w:hint="eastAsia" w:asciiTheme="minorEastAsia" w:hAnsiTheme="minorEastAsia" w:eastAsiaTheme="minorEastAsia"/>
          <w:sz w:val="24"/>
          <w:szCs w:val="24"/>
        </w:rPr>
        <w:t>---5分钟内压力机示值的最大变化值，kN</w:t>
      </w:r>
    </w:p>
    <w:p w14:paraId="339D58F6">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指示器以压力值为单位时：</w:t>
      </w:r>
    </w:p>
    <w:p w14:paraId="6249A31A">
      <w:pPr>
        <w:pStyle w:val="19"/>
        <w:spacing w:line="360" w:lineRule="auto"/>
        <w:ind w:firstLine="480"/>
        <w:jc w:val="center"/>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L</m:t>
            </m:r>
            <m:ctrlPr>
              <w:rPr>
                <w:rFonts w:ascii="Cambria Math" w:hAnsiTheme="minorEastAsia" w:eastAsiaTheme="minorEastAsia"/>
                <w:i/>
                <w:sz w:val="24"/>
                <w:szCs w:val="24"/>
              </w:rPr>
            </m:ctrlPr>
          </m:e>
          <m:sub>
            <m:r>
              <m:rPr/>
              <w:rPr>
                <w:rFonts w:ascii="Cambria Math" w:hAnsiTheme="minorEastAsia" w:eastAsiaTheme="minorEastAsia"/>
                <w:sz w:val="24"/>
                <w:szCs w:val="24"/>
              </w:rPr>
              <m:t>k</m:t>
            </m:r>
            <m:ctrlPr>
              <w:rPr>
                <w:rFonts w:ascii="Cambria Math" w:hAnsiTheme="minorEastAsia" w:eastAsiaTheme="minorEastAsia"/>
                <w:i/>
                <w:sz w:val="24"/>
                <w:szCs w:val="24"/>
              </w:rPr>
            </m:ctrlPr>
          </m:sub>
        </m:sSub>
        <m:r>
          <m:rPr/>
          <w:rPr>
            <w:rFonts w:ascii="Cambria Math" w:hAnsiTheme="minorEastAsia" w:eastAsiaTheme="minorEastAsia"/>
            <w:sz w:val="24"/>
            <w:szCs w:val="24"/>
          </w:rPr>
          <m:t>=</m:t>
        </m:r>
        <m:f>
          <m:fPr>
            <m:ctrlPr>
              <w:rPr>
                <w:rFonts w:ascii="Cambria Math" w:hAnsiTheme="minorEastAsia" w:eastAsiaTheme="minorEastAsia"/>
                <w:i/>
                <w:sz w:val="24"/>
                <w:szCs w:val="24"/>
              </w:rPr>
            </m:ctrlPr>
          </m:fPr>
          <m:num>
            <m:r>
              <m:rPr/>
              <w:rPr>
                <w:rFonts w:ascii="Cambria Math" w:hAnsiTheme="minorEastAsia" w:eastAsiaTheme="minorEastAsia"/>
                <w:sz w:val="24"/>
                <w:szCs w:val="24"/>
              </w:rPr>
              <m:t>ΔP</m:t>
            </m:r>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max</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oMath>
      <w:r>
        <w:rPr>
          <w:rFonts w:hint="eastAsia" w:asciiTheme="minorEastAsia" w:hAnsiTheme="minorEastAsia" w:eastAsiaTheme="minorEastAsia"/>
          <w:sz w:val="24"/>
          <w:szCs w:val="24"/>
        </w:rPr>
        <w:t xml:space="preserve">                               (7)</w:t>
      </w:r>
    </w:p>
    <w:p w14:paraId="59B7D5FC">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3C7E51AD">
      <w:pPr>
        <w:pStyle w:val="19"/>
        <w:spacing w:line="360" w:lineRule="auto"/>
        <w:ind w:firstLine="48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max</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---压力机显示的最大压力值，MPa</w:t>
      </w:r>
    </w:p>
    <w:p w14:paraId="5F989E32">
      <w:pPr>
        <w:pStyle w:val="19"/>
        <w:spacing w:line="360" w:lineRule="auto"/>
        <w:ind w:firstLine="480"/>
        <w:jc w:val="left"/>
        <w:rPr>
          <w:rFonts w:asciiTheme="minorEastAsia" w:hAnsiTheme="minorEastAsia" w:eastAsiaTheme="minorEastAsia"/>
          <w:sz w:val="24"/>
          <w:szCs w:val="24"/>
        </w:rPr>
      </w:pPr>
      <m:oMath>
        <m:r>
          <m:rPr/>
          <w:rPr>
            <w:rFonts w:ascii="Cambria Math" w:hAnsiTheme="minorEastAsia" w:eastAsiaTheme="minorEastAsia"/>
            <w:sz w:val="24"/>
            <w:szCs w:val="24"/>
          </w:rPr>
          <m:t>ΔP</m:t>
        </m:r>
      </m:oMath>
      <w:r>
        <w:rPr>
          <w:rFonts w:hint="eastAsia" w:asciiTheme="minorEastAsia" w:hAnsiTheme="minorEastAsia" w:eastAsiaTheme="minorEastAsia"/>
          <w:sz w:val="24"/>
          <w:szCs w:val="24"/>
        </w:rPr>
        <w:t>---5分钟内压力机示值的最大变化值，MPa</w:t>
      </w:r>
    </w:p>
    <w:p w14:paraId="561B2BC6">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7.2.7 示值误差、示值重复性和内插误差的校准</w:t>
      </w:r>
    </w:p>
    <w:p w14:paraId="417FD912">
      <w:pPr>
        <w:pStyle w:val="8"/>
        <w:tabs>
          <w:tab w:val="left" w:pos="1206"/>
        </w:tabs>
        <w:spacing w:line="360" w:lineRule="auto"/>
        <w:rPr>
          <w:rFonts w:ascii="宋体" w:hAnsi="Times New Roman" w:cs="宋体"/>
        </w:rPr>
      </w:pPr>
      <w:r>
        <w:rPr>
          <w:rFonts w:hint="eastAsia" w:cs="宋体" w:asciiTheme="minorEastAsia" w:hAnsiTheme="minorEastAsia" w:eastAsiaTheme="minorEastAsia"/>
          <w:sz w:val="24"/>
          <w:szCs w:val="24"/>
        </w:rPr>
        <w:t>7</w:t>
      </w:r>
      <w:r>
        <w:rPr>
          <w:rFonts w:cs="宋体" w:asciiTheme="minorEastAsia" w:hAnsiTheme="minorEastAsia" w:eastAsiaTheme="minorEastAsia"/>
          <w:sz w:val="24"/>
          <w:szCs w:val="24"/>
        </w:rPr>
        <w:t>.2.</w:t>
      </w:r>
      <w:r>
        <w:rPr>
          <w:rFonts w:hint="eastAsia" w:cs="宋体" w:asciiTheme="minorEastAsia" w:hAnsiTheme="minorEastAsia" w:eastAsiaTheme="minorEastAsia"/>
          <w:sz w:val="24"/>
          <w:szCs w:val="24"/>
        </w:rPr>
        <w:t>7</w:t>
      </w:r>
      <w:r>
        <w:rPr>
          <w:rFonts w:cs="宋体" w:asciiTheme="minorEastAsia" w:hAnsiTheme="minorEastAsia" w:eastAsiaTheme="minorEastAsia"/>
          <w:sz w:val="24"/>
          <w:szCs w:val="24"/>
        </w:rPr>
        <w:t>.1</w:t>
      </w:r>
      <w:r>
        <w:rPr>
          <w:rFonts w:hint="eastAsia" w:cs="宋体" w:asciiTheme="minorEastAsia" w:hAnsiTheme="minorEastAsia" w:eastAsiaTheme="minorEastAsia"/>
          <w:sz w:val="24"/>
          <w:szCs w:val="24"/>
        </w:rPr>
        <w:t xml:space="preserve"> </w:t>
      </w:r>
      <w:r>
        <w:rPr>
          <w:rFonts w:cs="宋体" w:asciiTheme="minorEastAsia" w:hAnsiTheme="minorEastAsia" w:eastAsiaTheme="minorEastAsia"/>
          <w:sz w:val="24"/>
          <w:szCs w:val="24"/>
        </w:rPr>
        <w:t>将压力机</w:t>
      </w:r>
      <w:r>
        <w:rPr>
          <w:rFonts w:hint="eastAsia" w:cs="宋体" w:asciiTheme="minorEastAsia" w:hAnsiTheme="minorEastAsia" w:eastAsiaTheme="minorEastAsia"/>
          <w:sz w:val="24"/>
          <w:szCs w:val="24"/>
        </w:rPr>
        <w:t>竖直</w:t>
      </w:r>
      <w:r>
        <w:rPr>
          <w:rFonts w:cs="宋体" w:asciiTheme="minorEastAsia" w:hAnsiTheme="minorEastAsia" w:eastAsiaTheme="minorEastAsia"/>
          <w:sz w:val="24"/>
          <w:szCs w:val="24"/>
        </w:rPr>
        <w:t>放置，并</w:t>
      </w:r>
      <w:r>
        <w:rPr>
          <w:rFonts w:hint="eastAsia" w:cs="宋体" w:asciiTheme="minorEastAsia" w:hAnsiTheme="minorEastAsia" w:eastAsiaTheme="minorEastAsia"/>
          <w:sz w:val="24"/>
          <w:szCs w:val="24"/>
        </w:rPr>
        <w:t>调</w:t>
      </w:r>
      <w:r>
        <w:rPr>
          <w:rFonts w:cs="宋体" w:asciiTheme="minorEastAsia" w:hAnsiTheme="minorEastAsia" w:eastAsiaTheme="minorEastAsia"/>
          <w:sz w:val="24"/>
          <w:szCs w:val="24"/>
        </w:rPr>
        <w:t>整至工作状态 ，与标准测力仪串接。</w:t>
      </w:r>
      <w:r>
        <w:rPr>
          <w:rFonts w:ascii="宋体" w:hAnsi="Times New Roman" w:cs="宋体"/>
        </w:rPr>
        <w:t>见图 1。</w:t>
      </w:r>
    </w:p>
    <w:p w14:paraId="5C4C5D3C">
      <w:pPr>
        <w:pStyle w:val="8"/>
        <w:tabs>
          <w:tab w:val="left" w:pos="1206"/>
        </w:tabs>
        <w:spacing w:line="360" w:lineRule="auto"/>
        <w:rPr>
          <w:rFonts w:ascii="宋体" w:hAnsi="Times New Roman" w:cs="宋体"/>
        </w:rPr>
      </w:pPr>
    </w:p>
    <w:p w14:paraId="0A526C36">
      <w:pPr>
        <w:pStyle w:val="8"/>
        <w:tabs>
          <w:tab w:val="left" w:pos="1206"/>
        </w:tabs>
        <w:spacing w:line="360" w:lineRule="auto"/>
      </w:pPr>
    </w:p>
    <w:p w14:paraId="65C2E09B">
      <w:pPr>
        <w:pStyle w:val="19"/>
        <w:spacing w:line="360" w:lineRule="auto"/>
      </w:pPr>
      <w:r>
        <w:drawing>
          <wp:anchor distT="0" distB="0" distL="0" distR="0" simplePos="0" relativeHeight="251661312" behindDoc="0" locked="0" layoutInCell="1" allowOverlap="1">
            <wp:simplePos x="0" y="0"/>
            <wp:positionH relativeFrom="page">
              <wp:posOffset>2606675</wp:posOffset>
            </wp:positionH>
            <wp:positionV relativeFrom="paragraph">
              <wp:posOffset>16510</wp:posOffset>
            </wp:positionV>
            <wp:extent cx="2070735" cy="1509395"/>
            <wp:effectExtent l="19050" t="0" r="5632" b="0"/>
            <wp:wrapNone/>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070818" cy="1509623"/>
                    </a:xfrm>
                    <a:prstGeom prst="rect">
                      <a:avLst/>
                    </a:prstGeom>
                    <a:noFill/>
                    <a:ln>
                      <a:noFill/>
                    </a:ln>
                  </pic:spPr>
                </pic:pic>
              </a:graphicData>
            </a:graphic>
          </wp:anchor>
        </w:drawing>
      </w:r>
      <w:r>
        <w:pict>
          <v:shape id="Text Box 10" o:spid="_x0000_s2087" o:spt="202" type="#_x0000_t202" style="position:absolute;left:0pt;margin-left:374.65pt;margin-top:9.35pt;height:22.5pt;width:23.05pt;mso-position-horizontal-relative:pag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">
            <v:path/>
            <v:fill on="f" focussize="0,0"/>
            <v:stroke on="f" joinstyle="miter"/>
            <v:imagedata o:title=""/>
            <o:lock v:ext="edit"/>
            <v:textbox inset="0mm,0mm,0mm,0mm">
              <w:txbxContent>
                <w:p w14:paraId="329412B2">
                  <w:pPr>
                    <w:spacing w:line="120" w:lineRule="auto"/>
                    <w:rPr>
                      <w:sz w:val="20"/>
                    </w:rPr>
                  </w:pPr>
                  <w:r>
                    <w:rPr>
                      <w:rFonts w:hint="eastAsia"/>
                      <w:sz w:val="20"/>
                    </w:rPr>
                    <w:t>1</w:t>
                  </w:r>
                </w:p>
              </w:txbxContent>
            </v:textbox>
          </v:shape>
        </w:pict>
      </w:r>
    </w:p>
    <w:p w14:paraId="50B05946">
      <w:pPr>
        <w:pStyle w:val="19"/>
        <w:spacing w:line="360" w:lineRule="auto"/>
      </w:pPr>
    </w:p>
    <w:p w14:paraId="3EB00179">
      <w:pPr>
        <w:pStyle w:val="19"/>
        <w:spacing w:line="360" w:lineRule="auto"/>
      </w:pPr>
      <w:r>
        <w:pict>
          <v:shape id="Text Box 12" o:spid="_x0000_s2086" o:spt="202" type="#_x0000_t202" style="position:absolute;left:0pt;margin-left:374.65pt;margin-top:17.3pt;height:21pt;width:23.05pt;mso-position-horizontal-relative:pag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">
            <v:path/>
            <v:fill on="f" focussize="0,0"/>
            <v:stroke on="f" joinstyle="miter"/>
            <v:imagedata o:title=""/>
            <o:lock v:ext="edit"/>
            <v:textbox inset="0mm,0mm,0mm,0mm">
              <w:txbxContent>
                <w:p w14:paraId="50FE6650">
                  <w:pPr>
                    <w:spacing w:line="120" w:lineRule="auto"/>
                    <w:rPr>
                      <w:sz w:val="20"/>
                    </w:rPr>
                  </w:pPr>
                  <w:r>
                    <w:rPr>
                      <w:rFonts w:hint="eastAsia"/>
                      <w:sz w:val="20"/>
                    </w:rPr>
                    <w:t>2</w:t>
                  </w:r>
                </w:p>
              </w:txbxContent>
            </v:textbox>
          </v:shape>
        </w:pict>
      </w:r>
    </w:p>
    <w:p w14:paraId="7A236430">
      <w:pPr>
        <w:pStyle w:val="19"/>
        <w:spacing w:line="360" w:lineRule="auto"/>
      </w:pPr>
    </w:p>
    <w:p w14:paraId="56297EC4">
      <w:pPr>
        <w:pStyle w:val="19"/>
        <w:spacing w:line="360" w:lineRule="auto"/>
      </w:pPr>
      <w:r>
        <w:pict>
          <v:shape id="Text Box 13" o:spid="_x0000_s2085" o:spt="202" type="#_x0000_t202" style="position:absolute;left:0pt;margin-left:374.65pt;margin-top:14.75pt;height:22.5pt;width:23.05pt;mso-position-horizontal-relative:page;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">
            <v:path/>
            <v:fill on="f" focussize="0,0"/>
            <v:stroke on="f" joinstyle="miter"/>
            <v:imagedata o:title=""/>
            <o:lock v:ext="edit"/>
            <v:textbox inset="0mm,0mm,0mm,0mm">
              <w:txbxContent>
                <w:p w14:paraId="3BE36F12">
                  <w:pPr>
                    <w:spacing w:line="120" w:lineRule="auto"/>
                    <w:rPr>
                      <w:sz w:val="20"/>
                    </w:rPr>
                  </w:pPr>
                  <w:r>
                    <w:rPr>
                      <w:rFonts w:hint="eastAsia"/>
                      <w:sz w:val="20"/>
                    </w:rPr>
                    <w:t>3</w:t>
                  </w:r>
                </w:p>
              </w:txbxContent>
            </v:textbox>
          </v:shape>
        </w:pict>
      </w:r>
    </w:p>
    <w:p w14:paraId="15E28030">
      <w:pPr>
        <w:pStyle w:val="19"/>
        <w:spacing w:line="360" w:lineRule="auto"/>
        <w:ind w:firstLine="0" w:firstLineChars="0"/>
      </w:pPr>
    </w:p>
    <w:p w14:paraId="67525778">
      <w:pPr>
        <w:tabs>
          <w:tab w:val="left" w:pos="586"/>
        </w:tabs>
        <w:spacing w:line="360" w:lineRule="auto"/>
        <w:ind w:right="1097"/>
        <w:jc w:val="center"/>
        <w:rPr>
          <w:sz w:val="19"/>
        </w:rPr>
      </w:pPr>
      <w:r>
        <w:rPr>
          <w:color w:val="626262"/>
          <w:w w:val="110"/>
          <w:sz w:val="19"/>
        </w:rPr>
        <w:t>图</w:t>
      </w:r>
      <w:r>
        <w:rPr>
          <w:rFonts w:ascii="Times New Roman" w:eastAsia="Times New Roman"/>
          <w:color w:val="626262"/>
          <w:w w:val="110"/>
          <w:sz w:val="19"/>
        </w:rPr>
        <w:t>1</w:t>
      </w:r>
      <w:r>
        <w:rPr>
          <w:rFonts w:ascii="Times New Roman" w:eastAsia="Times New Roman"/>
          <w:color w:val="626262"/>
          <w:w w:val="110"/>
          <w:sz w:val="19"/>
        </w:rPr>
        <w:tab/>
      </w:r>
      <w:r>
        <w:rPr>
          <w:color w:val="777777"/>
          <w:w w:val="110"/>
          <w:sz w:val="19"/>
        </w:rPr>
        <w:t>压力</w:t>
      </w:r>
      <w:r>
        <w:rPr>
          <w:color w:val="525252"/>
          <w:w w:val="110"/>
          <w:sz w:val="19"/>
        </w:rPr>
        <w:t>机校准</w:t>
      </w:r>
      <w:r>
        <w:rPr>
          <w:color w:val="777777"/>
          <w:w w:val="110"/>
          <w:sz w:val="19"/>
        </w:rPr>
        <w:t>示意图</w:t>
      </w:r>
    </w:p>
    <w:p w14:paraId="424D7568">
      <w:pPr>
        <w:spacing w:line="360" w:lineRule="auto"/>
        <w:ind w:right="1080"/>
        <w:jc w:val="center"/>
        <w:rPr>
          <w:sz w:val="16"/>
        </w:rPr>
      </w:pPr>
      <w:r>
        <w:rPr>
          <w:rFonts w:ascii="Times New Roman" w:hAnsi="Times New Roman" w:eastAsia="Times New Roman"/>
          <w:color w:val="626262"/>
          <w:w w:val="110"/>
          <w:sz w:val="16"/>
        </w:rPr>
        <w:t xml:space="preserve">l </w:t>
      </w:r>
      <w:r>
        <w:rPr>
          <w:color w:val="626262"/>
          <w:w w:val="110"/>
          <w:sz w:val="16"/>
        </w:rPr>
        <w:t>—压力机框架</w:t>
      </w:r>
      <w:r>
        <w:rPr>
          <w:rFonts w:ascii="Times New Roman" w:hAnsi="Times New Roman" w:eastAsia="Times New Roman"/>
          <w:color w:val="626262"/>
          <w:w w:val="110"/>
          <w:sz w:val="16"/>
        </w:rPr>
        <w:t>2</w:t>
      </w:r>
      <w:r>
        <w:rPr>
          <w:color w:val="626262"/>
          <w:w w:val="110"/>
          <w:sz w:val="16"/>
        </w:rPr>
        <w:t>—标准测力仪</w:t>
      </w:r>
      <w:r>
        <w:rPr>
          <w:rFonts w:ascii="Times New Roman" w:hAnsi="Times New Roman" w:eastAsia="Times New Roman"/>
          <w:color w:val="858585"/>
          <w:w w:val="110"/>
          <w:sz w:val="16"/>
        </w:rPr>
        <w:t>3</w:t>
      </w:r>
      <w:r>
        <w:rPr>
          <w:color w:val="858585"/>
          <w:w w:val="110"/>
          <w:sz w:val="16"/>
        </w:rPr>
        <w:t>—压</w:t>
      </w:r>
      <w:r>
        <w:rPr>
          <w:color w:val="626262"/>
          <w:w w:val="110"/>
          <w:sz w:val="16"/>
        </w:rPr>
        <w:t>力机</w:t>
      </w:r>
    </w:p>
    <w:p w14:paraId="6105CD2E">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.2</w:t>
      </w:r>
      <w:r>
        <w:rPr>
          <w:rFonts w:hint="eastAsia" w:asciiTheme="minorEastAsia" w:hAnsiTheme="minorEastAsia" w:eastAsiaTheme="minorEastAsia"/>
          <w:sz w:val="24"/>
          <w:szCs w:val="24"/>
        </w:rPr>
        <w:t>.7</w:t>
      </w:r>
      <w:r>
        <w:rPr>
          <w:rFonts w:asciiTheme="minorEastAsia" w:hAnsiTheme="minorEastAsia" w:eastAsiaTheme="minorEastAsia"/>
          <w:sz w:val="24"/>
          <w:szCs w:val="24"/>
        </w:rPr>
        <w:t>.2</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手动加压，施加最大力值三次作为预压</w:t>
      </w:r>
      <w:r>
        <w:rPr>
          <w:rFonts w:hint="eastAsia" w:asciiTheme="minorEastAsia" w:hAnsiTheme="minorEastAsia" w:eastAsiaTheme="minorEastAsia"/>
          <w:sz w:val="24"/>
          <w:szCs w:val="24"/>
        </w:rPr>
        <w:t>。</w:t>
      </w:r>
    </w:p>
    <w:p w14:paraId="093893AC">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7.2.7</w:t>
      </w:r>
      <w:r>
        <w:rPr>
          <w:rFonts w:asciiTheme="minorEastAsia" w:hAnsiTheme="minorEastAsia" w:eastAsiaTheme="minorEastAsia"/>
          <w:sz w:val="24"/>
          <w:szCs w:val="24"/>
        </w:rPr>
        <w:t>.3</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试验力施加应缓慢平稳，不得有冲击和超载</w:t>
      </w:r>
      <w:r>
        <w:rPr>
          <w:rFonts w:hint="eastAsia" w:asciiTheme="minorEastAsia" w:hAnsiTheme="minorEastAsia" w:eastAsiaTheme="minorEastAsia"/>
          <w:sz w:val="24"/>
          <w:szCs w:val="24"/>
        </w:rPr>
        <w:t>。</w:t>
      </w:r>
    </w:p>
    <w:p w14:paraId="5A3A0F78">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7.2.7</w:t>
      </w:r>
      <w:r>
        <w:rPr>
          <w:rFonts w:asciiTheme="minorEastAsia" w:hAnsiTheme="minorEastAsia" w:eastAsiaTheme="minorEastAsia"/>
          <w:sz w:val="24"/>
          <w:szCs w:val="24"/>
        </w:rPr>
        <w:t>.4</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ab/>
      </w:r>
      <w:r>
        <w:rPr>
          <w:rFonts w:asciiTheme="minorEastAsia" w:hAnsiTheme="minorEastAsia" w:eastAsiaTheme="minorEastAsia"/>
          <w:sz w:val="24"/>
          <w:szCs w:val="24"/>
        </w:rPr>
        <w:t>试验力的校准从额定力值的 20 % 开始直至最大力值，校准点的选择尽</w:t>
      </w:r>
      <w:r>
        <w:rPr>
          <w:rFonts w:hint="eastAsia" w:asciiTheme="minorEastAsia" w:hAnsiTheme="minorEastAsia" w:eastAsiaTheme="minorEastAsia"/>
          <w:sz w:val="24"/>
          <w:szCs w:val="24"/>
        </w:rPr>
        <w:t>量</w:t>
      </w:r>
      <w:r>
        <w:rPr>
          <w:rFonts w:asciiTheme="minorEastAsia" w:hAnsiTheme="minorEastAsia" w:eastAsiaTheme="minorEastAsia"/>
          <w:sz w:val="24"/>
          <w:szCs w:val="24"/>
        </w:rPr>
        <w:t>均匀</w:t>
      </w:r>
      <w:r>
        <w:rPr>
          <w:rFonts w:hint="eastAsia" w:asciiTheme="minorEastAsia" w:hAnsiTheme="minorEastAsia" w:eastAsiaTheme="minorEastAsia"/>
          <w:sz w:val="24"/>
          <w:szCs w:val="24"/>
        </w:rPr>
        <w:t>分布，一般不少于5点，校准重复进行三次。</w:t>
      </w:r>
    </w:p>
    <w:p w14:paraId="0B79C0C6">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7.2.7.5</w:t>
      </w:r>
      <w:bookmarkStart w:id="36" w:name="_Hlk176292174"/>
      <w:r>
        <w:rPr>
          <w:rFonts w:hint="eastAsia" w:asciiTheme="minorEastAsia" w:hAnsiTheme="minorEastAsia" w:eastAsiaTheme="minorEastAsia"/>
          <w:sz w:val="24"/>
          <w:szCs w:val="24"/>
        </w:rPr>
        <w:t xml:space="preserve"> 指示器以力值为单位时：</w:t>
      </w:r>
    </w:p>
    <w:p w14:paraId="5B426707">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a)以测力仪标准值为准，在压力机指示器上读数时，按照公式(8)和(9)分别计算</w:t>
      </w:r>
      <w:bookmarkStart w:id="37" w:name="_Hlk176292014"/>
      <w:r>
        <w:rPr>
          <w:rFonts w:hint="eastAsia" w:asciiTheme="minorEastAsia" w:hAnsiTheme="minorEastAsia" w:eastAsiaTheme="minorEastAsia"/>
          <w:sz w:val="24"/>
          <w:szCs w:val="24"/>
        </w:rPr>
        <w:t>示值误差</w:t>
      </w:r>
      <m:oMath>
        <m:r>
          <m:rPr/>
          <w:rPr>
            <w:rFonts w:ascii="Cambria Math" w:hAnsiTheme="minorEastAsia" w:eastAsiaTheme="minorEastAsia"/>
            <w:sz w:val="24"/>
            <w:szCs w:val="24"/>
          </w:rPr>
          <m:t>δ</m:t>
        </m:r>
      </m:oMath>
      <w:r>
        <w:rPr>
          <w:rFonts w:hint="eastAsia" w:asciiTheme="minorEastAsia" w:hAnsiTheme="minorEastAsia" w:eastAsiaTheme="minorEastAsia"/>
          <w:sz w:val="24"/>
          <w:szCs w:val="24"/>
        </w:rPr>
        <w:t>和示值重复性</w:t>
      </w:r>
      <w:r>
        <w:rPr>
          <w:rFonts w:hint="eastAsia" w:asciiTheme="minorEastAsia" w:hAnsiTheme="minorEastAsia" w:eastAsiaTheme="minorEastAsia"/>
          <w:i/>
          <w:iCs/>
          <w:sz w:val="24"/>
          <w:szCs w:val="24"/>
        </w:rPr>
        <w:t>R</w:t>
      </w:r>
      <w:bookmarkEnd w:id="37"/>
      <w:r>
        <w:rPr>
          <w:rFonts w:hint="eastAsia" w:asciiTheme="minorEastAsia" w:hAnsiTheme="minorEastAsia" w:eastAsiaTheme="minorEastAsia"/>
          <w:sz w:val="24"/>
          <w:szCs w:val="24"/>
        </w:rPr>
        <w:t>, 其结果应符合表2的要求。</w:t>
      </w:r>
    </w:p>
    <w:bookmarkEnd w:id="36"/>
    <w:p w14:paraId="0C0093D1">
      <w:pPr>
        <w:pStyle w:val="19"/>
        <w:spacing w:line="360" w:lineRule="auto"/>
        <w:ind w:firstLine="480"/>
        <w:jc w:val="center"/>
        <w:rPr>
          <w:rFonts w:asciiTheme="minorEastAsia" w:hAnsiTheme="minorEastAsia" w:eastAsiaTheme="minorEastAsia"/>
          <w:sz w:val="24"/>
          <w:szCs w:val="24"/>
        </w:rPr>
      </w:pPr>
      <m:oMath>
        <m:r>
          <m:rPr/>
          <w:rPr>
            <w:rFonts w:ascii="Cambria Math" w:hAnsiTheme="minorEastAsia" w:eastAsiaTheme="minorEastAsia"/>
            <w:sz w:val="24"/>
            <w:szCs w:val="24"/>
          </w:rPr>
          <m:t>δ=</m:t>
        </m:r>
        <m:f>
          <m:fPr>
            <m:ctrlPr>
              <w:rPr>
                <w:rFonts w:ascii="Cambria Math" w:hAnsiTheme="minorEastAsia" w:eastAsiaTheme="minorEastAsia"/>
                <w:i/>
                <w:sz w:val="24"/>
                <w:szCs w:val="24"/>
              </w:rPr>
            </m:ctrlPr>
          </m:fPr>
          <m:num>
            <m:bar>
              <m:barPr>
                <m:pos m:val="top"/>
                <m:ctrlPr>
                  <w:rPr>
                    <w:rFonts w:ascii="Cambria Math" w:hAnsiTheme="minorEastAsia" w:eastAsiaTheme="minorEastAsia"/>
                    <w:i/>
                    <w:sz w:val="24"/>
                    <w:szCs w:val="24"/>
                  </w:rPr>
                </m:ctrlPr>
              </m:bar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bar>
            <m:r>
              <m:rPr/>
              <w:rPr>
                <w:rFonts w:asciiTheme="minorEastAsia" w:eastAsiaTheme="minorEastAsia"/>
                <w:sz w:val="24"/>
                <w:szCs w:val="24"/>
              </w:rPr>
              <m:t>−</m:t>
            </m:r>
            <m:r>
              <m:rPr/>
              <w:rPr>
                <w:rFonts w:ascii="Cambria Math" w:hAnsiTheme="minorEastAsia" w:eastAsiaTheme="minorEastAsia"/>
                <w:sz w:val="24"/>
                <w:szCs w:val="24"/>
              </w:rPr>
              <m:t>F</m:t>
            </m:r>
            <m:ctrlPr>
              <w:rPr>
                <w:rFonts w:ascii="Cambria Math" w:hAnsiTheme="minorEastAsia" w:eastAsiaTheme="minorEastAsia"/>
                <w:i/>
                <w:sz w:val="24"/>
                <w:szCs w:val="24"/>
              </w:rPr>
            </m:ctrlPr>
          </m:num>
          <m:den>
            <m:r>
              <m:rPr/>
              <w:rPr>
                <w:rFonts w:ascii="Cambria Math" w:hAnsiTheme="minorEastAsia" w:eastAsiaTheme="minorEastAsia"/>
                <w:sz w:val="24"/>
                <w:szCs w:val="24"/>
              </w:rPr>
              <m:t>F</m:t>
            </m:r>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(8)</w:t>
      </w:r>
    </w:p>
    <w:p w14:paraId="4C50BE2D">
      <w:pPr>
        <w:pStyle w:val="19"/>
        <w:spacing w:line="360" w:lineRule="auto"/>
        <w:ind w:firstLine="48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object>
          <v:shape id="_x0000_i1025" o:spt="75" type="#_x0000_t75" style="height:29.9pt;width:120.2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6" r:id="rId12">
            <o:LockedField>false</o:LockedField>
          </o:OLEObject>
        </w:object>
      </w:r>
      <w:r>
        <w:rPr>
          <w:rFonts w:hint="eastAsia" w:asciiTheme="minorEastAsia" w:hAnsiTheme="minorEastAsia" w:eastAsiaTheme="minorEastAsia"/>
          <w:sz w:val="24"/>
          <w:szCs w:val="24"/>
        </w:rPr>
        <w:t xml:space="preserve">                          (9)</w:t>
      </w:r>
    </w:p>
    <w:p w14:paraId="5647BA07">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式中：</w:t>
      </w:r>
      <m:oMath>
        <m:bar>
          <m:barPr>
            <m:pos m:val="top"/>
            <m:ctrlPr>
              <w:rPr>
                <w:rFonts w:ascii="Cambria Math" w:hAnsiTheme="minorEastAsia" w:eastAsiaTheme="minorEastAsia"/>
                <w:i/>
                <w:sz w:val="24"/>
                <w:szCs w:val="24"/>
              </w:rPr>
            </m:ctrlPr>
          </m:bar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bar>
      </m:oMath>
      <w:r>
        <w:rPr>
          <w:rFonts w:hint="eastAsia" w:asciiTheme="minorEastAsia" w:hAnsiTheme="minorEastAsia" w:eastAsiaTheme="minorEastAsia"/>
          <w:sz w:val="24"/>
          <w:szCs w:val="24"/>
        </w:rPr>
        <w:t xml:space="preserve"> ---压力机同一校准点 3 次读数的算术平均值，kN，</w:t>
      </w:r>
    </w:p>
    <w:p w14:paraId="06BA3A3E">
      <w:pPr>
        <w:pStyle w:val="19"/>
        <w:spacing w:line="360" w:lineRule="auto"/>
        <w:ind w:firstLine="1200" w:firstLineChars="500"/>
        <w:jc w:val="left"/>
        <w:rPr>
          <w:rFonts w:asciiTheme="minorEastAsia" w:hAnsiTheme="minorEastAsia" w:eastAsiaTheme="minorEastAsia"/>
          <w:sz w:val="24"/>
          <w:szCs w:val="24"/>
        </w:rPr>
      </w:pPr>
      <m:oMath>
        <m:r>
          <m:rPr/>
          <w:rPr>
            <w:rFonts w:ascii="Cambria Math" w:hAnsiTheme="minorEastAsia" w:eastAsiaTheme="minorEastAsia"/>
            <w:sz w:val="24"/>
            <w:szCs w:val="24"/>
          </w:rPr>
          <m:t>F</m:t>
        </m:r>
      </m:oMath>
      <w:r>
        <w:rPr>
          <w:rFonts w:hint="eastAsia" w:asciiTheme="minorEastAsia" w:hAnsiTheme="minorEastAsia" w:eastAsiaTheme="minorEastAsia"/>
          <w:sz w:val="24"/>
          <w:szCs w:val="24"/>
        </w:rPr>
        <w:t>---测力仪指示力值，kN，</w:t>
      </w:r>
    </w:p>
    <w:p w14:paraId="6CFB4B7F">
      <w:pPr>
        <w:pStyle w:val="19"/>
        <w:spacing w:line="360" w:lineRule="auto"/>
        <w:ind w:firstLine="1200" w:firstLineChars="500"/>
        <w:jc w:val="left"/>
        <w:rPr>
          <w:rFonts w:asciiTheme="minorEastAsia" w:hAnsiTheme="minorEastAsia" w:eastAsiaTheme="minorEastAsia"/>
          <w:sz w:val="24"/>
          <w:szCs w:val="24"/>
        </w:rPr>
      </w:pPr>
      <w:bookmarkStart w:id="38" w:name="_Hlk176291940"/>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imax</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---压力机同一校准点读数的最大值，kN</w:t>
      </w:r>
      <w:bookmarkEnd w:id="38"/>
      <w:r>
        <w:rPr>
          <w:rFonts w:hint="eastAsia" w:asciiTheme="minorEastAsia" w:hAnsiTheme="minorEastAsia" w:eastAsiaTheme="minorEastAsia"/>
          <w:sz w:val="24"/>
          <w:szCs w:val="24"/>
        </w:rPr>
        <w:t>，</w:t>
      </w:r>
    </w:p>
    <w:p w14:paraId="2D71E538">
      <w:pPr>
        <w:pStyle w:val="19"/>
        <w:spacing w:line="360" w:lineRule="auto"/>
        <w:ind w:firstLine="1200" w:firstLineChars="500"/>
        <w:jc w:val="left"/>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imin</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 xml:space="preserve"> ---压力机同一校准点读数的最小值，kN。</w:t>
      </w:r>
    </w:p>
    <w:p w14:paraId="1E9BD8FA">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b) 以压力机示值为准，在测力仪上读数时，按照公式(10) 、(11) 分别示值误差</w:t>
      </w:r>
      <m:oMath>
        <m:r>
          <m:rPr/>
          <w:rPr>
            <w:rFonts w:ascii="Cambria Math" w:hAnsiTheme="minorEastAsia" w:eastAsiaTheme="minorEastAsia"/>
            <w:sz w:val="24"/>
            <w:szCs w:val="24"/>
          </w:rPr>
          <m:t>δ</m:t>
        </m:r>
      </m:oMath>
      <w:r>
        <w:rPr>
          <w:rFonts w:hint="eastAsia" w:asciiTheme="minorEastAsia" w:hAnsiTheme="minorEastAsia" w:eastAsiaTheme="minorEastAsia"/>
          <w:sz w:val="24"/>
          <w:szCs w:val="24"/>
        </w:rPr>
        <w:t>和示值重复性</w:t>
      </w:r>
      <w:r>
        <w:rPr>
          <w:rFonts w:hint="eastAsia" w:asciiTheme="minorEastAsia" w:hAnsiTheme="minorEastAsia" w:eastAsiaTheme="minorEastAsia"/>
          <w:i/>
          <w:iCs/>
          <w:sz w:val="24"/>
          <w:szCs w:val="24"/>
        </w:rPr>
        <w:t>R</w:t>
      </w:r>
      <w:r>
        <w:rPr>
          <w:rFonts w:hint="eastAsia" w:asciiTheme="minorEastAsia" w:hAnsiTheme="minorEastAsia" w:eastAsiaTheme="minorEastAsia"/>
          <w:sz w:val="24"/>
          <w:szCs w:val="24"/>
        </w:rPr>
        <w:t xml:space="preserve"> , 其结果符合表2的要求。</w:t>
      </w:r>
    </w:p>
    <w:p w14:paraId="4180EE26">
      <w:pPr>
        <w:pStyle w:val="19"/>
        <w:spacing w:line="360" w:lineRule="auto"/>
        <w:ind w:firstLine="480"/>
        <w:jc w:val="center"/>
        <w:rPr>
          <w:rFonts w:asciiTheme="minorEastAsia" w:hAnsiTheme="minorEastAsia" w:eastAsiaTheme="minorEastAsia"/>
          <w:sz w:val="24"/>
          <w:szCs w:val="24"/>
        </w:rPr>
      </w:pPr>
      <m:oMath>
        <w:bookmarkStart w:id="39" w:name="_Hlk180006796"/>
        <m:r>
          <m:rPr/>
          <w:rPr>
            <w:rFonts w:ascii="Cambria Math" w:hAnsiTheme="minorEastAsia" w:eastAsiaTheme="minorEastAsia"/>
            <w:sz w:val="24"/>
            <w:szCs w:val="24"/>
          </w:rPr>
          <m:t>δ=</m:t>
        </m:r>
        <m:f>
          <m:fPr>
            <m:ctrlPr>
              <w:rPr>
                <w:rFonts w:ascii="Cambria Math" w:hAnsiTheme="minorEastAsia" w:eastAsiaTheme="minorEastAsia"/>
                <w:i/>
                <w:sz w:val="24"/>
                <w:szCs w:val="24"/>
              </w:rPr>
            </m:ctrlPr>
          </m:fPr>
          <m:num>
            <m:sSup>
              <m:sSupPr>
                <m:ctrlPr>
                  <w:rPr>
                    <w:rFonts w:ascii="Cambria Math" w:hAnsiTheme="minorEastAsia" w:eastAsiaTheme="minorEastAsia"/>
                    <w:i/>
                    <w:sz w:val="24"/>
                    <w:szCs w:val="24"/>
                  </w:rPr>
                </m:ctrlPr>
              </m:sSupPr>
              <m:e>
                <m:r>
                  <m:rPr/>
                  <w:rPr>
                    <w:rFonts w:ascii="Cambria Math" w:hAnsiTheme="minorEastAsia" w:eastAsiaTheme="minorEastAsia"/>
                    <w:sz w:val="24"/>
                    <w:szCs w:val="24"/>
                  </w:rPr>
                  <m:t>F</m:t>
                </m:r>
                <m:ctrlPr>
                  <w:rPr>
                    <w:rFonts w:ascii="Cambria Math" w:hAnsiTheme="minorEastAsia" w:eastAsiaTheme="minorEastAsia"/>
                    <w:i/>
                    <w:sz w:val="24"/>
                    <w:szCs w:val="24"/>
                  </w:rPr>
                </m:ctrlPr>
              </m:e>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p>
            <m:r>
              <m:rPr/>
              <w:rPr>
                <w:rFonts w:asciiTheme="minorEastAsia" w:eastAsiaTheme="minorEastAsia"/>
                <w:sz w:val="24"/>
                <w:szCs w:val="24"/>
              </w:rPr>
              <m:t>−</m:t>
            </m:r>
            <m:bar>
              <m:barPr>
                <m:pos m:val="top"/>
                <m:ctrlPr>
                  <w:rPr>
                    <w:rFonts w:ascii="Cambria Math" w:hAnsiTheme="minorEastAsia" w:eastAsiaTheme="minorEastAsia"/>
                    <w:i/>
                    <w:sz w:val="24"/>
                    <w:szCs w:val="24"/>
                  </w:rPr>
                </m:ctrlPr>
              </m:barPr>
              <m:e>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p>
                <m:ctrlPr>
                  <w:rPr>
                    <w:rFonts w:ascii="Cambria Math" w:hAnsiTheme="minorEastAsia" w:eastAsiaTheme="minorEastAsia"/>
                    <w:i/>
                    <w:sz w:val="24"/>
                    <w:szCs w:val="24"/>
                  </w:rPr>
                </m:ctrlPr>
              </m:e>
            </m:bar>
            <m:ctrlPr>
              <w:rPr>
                <w:rFonts w:ascii="Cambria Math" w:hAnsiTheme="minorEastAsia" w:eastAsiaTheme="minorEastAsia"/>
                <w:i/>
                <w:sz w:val="24"/>
                <w:szCs w:val="24"/>
              </w:rPr>
            </m:ctrlPr>
          </m:num>
          <m:den>
            <m:bar>
              <m:barPr>
                <m:pos m:val="top"/>
                <m:ctrlPr>
                  <w:rPr>
                    <w:rFonts w:ascii="Cambria Math" w:hAnsiTheme="minorEastAsia" w:eastAsiaTheme="minorEastAsia"/>
                    <w:i/>
                    <w:sz w:val="24"/>
                    <w:szCs w:val="24"/>
                  </w:rPr>
                </m:ctrlPr>
              </m:barPr>
              <m:e>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p>
                <m:ctrlPr>
                  <w:rPr>
                    <w:rFonts w:ascii="Cambria Math" w:hAnsiTheme="minorEastAsia" w:eastAsiaTheme="minorEastAsia"/>
                    <w:i/>
                    <w:sz w:val="24"/>
                    <w:szCs w:val="24"/>
                  </w:rPr>
                </m:ctrlPr>
              </m:e>
            </m:bar>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bookmarkEnd w:id="39"/>
      <w:r>
        <w:rPr>
          <w:rFonts w:hint="eastAsia" w:asciiTheme="minorEastAsia" w:hAnsiTheme="minorEastAsia" w:eastAsiaTheme="minorEastAsia"/>
          <w:sz w:val="24"/>
          <w:szCs w:val="24"/>
        </w:rPr>
        <w:t xml:space="preserve">                          (10)</w:t>
      </w:r>
    </w:p>
    <w:p w14:paraId="3A6A7688">
      <w:pPr>
        <w:ind w:firstLine="2160" w:firstLineChars="900"/>
        <w:rPr>
          <w:rFonts w:asciiTheme="minorEastAsia" w:hAnsiTheme="minorEastAsia" w:eastAsiaTheme="minorEastAsia"/>
          <w:sz w:val="24"/>
          <w:szCs w:val="24"/>
        </w:rPr>
      </w:pPr>
      <m:oMath>
        <m:r>
          <m:rPr/>
          <w:rPr>
            <w:rFonts w:ascii="Cambria Math" w:hAnsiTheme="minorEastAsia" w:eastAsiaTheme="minorEastAsia"/>
            <w:sz w:val="24"/>
            <w:szCs w:val="24"/>
          </w:rPr>
          <m:t>R=</m:t>
        </m:r>
        <m:f>
          <m:fPr>
            <m:ctrlPr>
              <w:rPr>
                <w:rFonts w:ascii="Cambria Math" w:hAnsiTheme="minorEastAsia" w:eastAsiaTheme="minorEastAsia"/>
                <w:i/>
                <w:sz w:val="24"/>
                <w:szCs w:val="24"/>
              </w:rPr>
            </m:ctrlPr>
          </m:fPr>
          <m:num>
            <m:sSubSup>
              <m:sSubSupPr>
                <m:ctrlPr>
                  <w:rPr>
                    <w:rFonts w:ascii="Cambria Math" w:hAnsiTheme="minorEastAsia" w:eastAsiaTheme="minorEastAsia"/>
                    <w:i/>
                    <w:sz w:val="24"/>
                    <w:szCs w:val="24"/>
                  </w:rPr>
                </m:ctrlPr>
              </m:sSubSup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imax</m:t>
                </m:r>
                <m:ctrlPr>
                  <w:rPr>
                    <w:rFonts w:ascii="Cambria Math" w:hAnsiTheme="minorEastAsia" w:eastAsiaTheme="minorEastAsia"/>
                    <w:i/>
                    <w:sz w:val="24"/>
                    <w:szCs w:val="24"/>
                  </w:rPr>
                </m:ctrlPr>
              </m:sub>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bSup>
            <m:r>
              <m:rPr/>
              <w:rPr>
                <w:rFonts w:asciiTheme="minorEastAsia" w:eastAsiaTheme="minorEastAsia"/>
                <w:sz w:val="24"/>
                <w:szCs w:val="24"/>
              </w:rPr>
              <m:t>−</m:t>
            </m:r>
            <m:sSubSup>
              <m:sSubSupPr>
                <m:ctrlPr>
                  <w:rPr>
                    <w:rFonts w:ascii="Cambria Math" w:hAnsiTheme="minorEastAsia" w:eastAsiaTheme="minorEastAsia"/>
                    <w:i/>
                    <w:sz w:val="24"/>
                    <w:szCs w:val="24"/>
                  </w:rPr>
                </m:ctrlPr>
              </m:sSubSup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imin</m:t>
                </m:r>
                <m:ctrlPr>
                  <w:rPr>
                    <w:rFonts w:ascii="Cambria Math" w:hAnsiTheme="minorEastAsia" w:eastAsiaTheme="minorEastAsia"/>
                    <w:i/>
                    <w:sz w:val="24"/>
                    <w:szCs w:val="24"/>
                  </w:rPr>
                </m:ctrlPr>
              </m:sub>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bSup>
            <m:ctrlPr>
              <w:rPr>
                <w:rFonts w:ascii="Cambria Math" w:hAnsiTheme="minorEastAsia" w:eastAsiaTheme="minorEastAsia"/>
                <w:i/>
                <w:sz w:val="24"/>
                <w:szCs w:val="24"/>
              </w:rPr>
            </m:ctrlPr>
          </m:num>
          <m:den>
            <m:bar>
              <m:barPr>
                <m:pos m:val="top"/>
                <m:ctrlPr>
                  <w:rPr>
                    <w:rFonts w:ascii="Cambria Math" w:hAnsiTheme="minorEastAsia" w:eastAsiaTheme="minorEastAsia"/>
                    <w:i/>
                    <w:sz w:val="24"/>
                    <w:szCs w:val="24"/>
                  </w:rPr>
                </m:ctrlPr>
              </m:barPr>
              <m:e>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p>
                <m:ctrlPr>
                  <w:rPr>
                    <w:rFonts w:ascii="Cambria Math" w:hAnsiTheme="minorEastAsia" w:eastAsiaTheme="minorEastAsia"/>
                    <w:i/>
                    <w:sz w:val="24"/>
                    <w:szCs w:val="24"/>
                  </w:rPr>
                </m:ctrlPr>
              </m:e>
            </m:bar>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(11)</w:t>
      </w:r>
    </w:p>
    <w:p w14:paraId="6878C560">
      <w:pPr>
        <w:pStyle w:val="1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式中：</w:t>
      </w:r>
    </w:p>
    <w:p w14:paraId="37905A83">
      <w:pPr>
        <w:pStyle w:val="19"/>
        <w:spacing w:line="360" w:lineRule="auto"/>
        <w:ind w:firstLine="1200" w:firstLineChars="500"/>
        <w:jc w:val="left"/>
        <w:rPr>
          <w:rFonts w:asciiTheme="minorEastAsia" w:hAnsiTheme="minorEastAsia" w:eastAsiaTheme="minorEastAsia"/>
          <w:sz w:val="24"/>
          <w:szCs w:val="24"/>
        </w:rPr>
      </w:pPr>
      <m:oMath>
        <m:sSup>
          <m:sSupPr>
            <m:ctrlPr>
              <w:rPr>
                <w:rFonts w:ascii="Cambria Math" w:hAnsiTheme="minorEastAsia" w:eastAsiaTheme="minorEastAsia"/>
                <w:i/>
                <w:sz w:val="24"/>
                <w:szCs w:val="24"/>
              </w:rPr>
            </m:ctrlPr>
          </m:sSupPr>
          <m:e>
            <m:r>
              <m:rPr/>
              <w:rPr>
                <w:rFonts w:ascii="Cambria Math" w:hAnsiTheme="minorEastAsia" w:eastAsiaTheme="minorEastAsia"/>
                <w:sz w:val="24"/>
                <w:szCs w:val="24"/>
              </w:rPr>
              <m:t>F</m:t>
            </m:r>
            <m:ctrlPr>
              <w:rPr>
                <w:rFonts w:ascii="Cambria Math" w:hAnsiTheme="minorEastAsia" w:eastAsiaTheme="minorEastAsia"/>
                <w:i/>
                <w:sz w:val="24"/>
                <w:szCs w:val="24"/>
              </w:rPr>
            </m:ctrlPr>
          </m:e>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p>
      </m:oMath>
      <w:r>
        <w:rPr>
          <w:rFonts w:hint="eastAsia" w:asciiTheme="minorEastAsia" w:hAnsiTheme="minorEastAsia" w:eastAsiaTheme="minorEastAsia"/>
          <w:sz w:val="24"/>
          <w:szCs w:val="24"/>
        </w:rPr>
        <w:t xml:space="preserve"> ---压力机指示力值，kN，</w:t>
      </w:r>
    </w:p>
    <w:p w14:paraId="65E26C9C">
      <w:pPr>
        <w:pStyle w:val="19"/>
        <w:spacing w:line="360" w:lineRule="auto"/>
        <w:ind w:firstLine="1200" w:firstLineChars="500"/>
        <w:jc w:val="left"/>
        <w:rPr>
          <w:rFonts w:asciiTheme="minorEastAsia" w:hAnsiTheme="minorEastAsia" w:eastAsiaTheme="minorEastAsia"/>
          <w:sz w:val="24"/>
          <w:szCs w:val="24"/>
        </w:rPr>
      </w:pPr>
      <m:oMath>
        <m:bar>
          <m:barPr>
            <m:pos m:val="top"/>
            <m:ctrlPr>
              <w:rPr>
                <w:rFonts w:ascii="Cambria Math" w:hAnsiTheme="minorEastAsia" w:eastAsiaTheme="minorEastAsia"/>
                <w:i/>
                <w:sz w:val="24"/>
                <w:szCs w:val="24"/>
              </w:rPr>
            </m:ctrlPr>
          </m:barPr>
          <m:e>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Theme="minorEastAsia" w:hAnsiTheme="minorEastAsia" w:eastAsiaTheme="minorEastAsia"/>
                    <w:sz w:val="24"/>
                    <w:szCs w:val="24"/>
                  </w:rPr>
                  <m:t>'</m:t>
                </m:r>
                <m:ctrlPr>
                  <w:rPr>
                    <w:rFonts w:ascii="Cambria Math" w:hAnsiTheme="minorEastAsia" w:eastAsiaTheme="minorEastAsia"/>
                    <w:i/>
                    <w:sz w:val="24"/>
                    <w:szCs w:val="24"/>
                  </w:rPr>
                </m:ctrlPr>
              </m:sup>
            </m:sSup>
            <m:ctrlPr>
              <w:rPr>
                <w:rFonts w:ascii="Cambria Math" w:hAnsiTheme="minorEastAsia" w:eastAsiaTheme="minorEastAsia"/>
                <w:i/>
                <w:sz w:val="24"/>
                <w:szCs w:val="24"/>
              </w:rPr>
            </m:ctrlPr>
          </m:e>
        </m:bar>
      </m:oMath>
      <w:r>
        <w:rPr>
          <w:rFonts w:hint="eastAsia" w:asciiTheme="minorEastAsia" w:hAnsiTheme="minorEastAsia" w:eastAsiaTheme="minorEastAsia"/>
          <w:sz w:val="24"/>
          <w:szCs w:val="24"/>
        </w:rPr>
        <w:t>---测力仪同一校准点三次读数算术平均值，kN，</w:t>
      </w:r>
    </w:p>
    <w:p w14:paraId="04881FC3">
      <w:pPr>
        <w:pStyle w:val="19"/>
        <w:spacing w:line="360" w:lineRule="auto"/>
        <w:ind w:firstLine="1200" w:firstLineChars="500"/>
        <w:jc w:val="left"/>
        <w:rPr>
          <w:rFonts w:asciiTheme="minorEastAsia" w:hAnsiTheme="minorEastAsia" w:eastAsiaTheme="minorEastAsia"/>
          <w:sz w:val="24"/>
          <w:szCs w:val="24"/>
        </w:rPr>
      </w:pPr>
      <w:bookmarkStart w:id="40" w:name="_Hlk180006881"/>
      <m:oMath>
        <m:sSubSup>
          <m:sSubSupPr>
            <m:ctrlPr>
              <w:rPr>
                <w:rFonts w:ascii="Cambria Math" w:hAnsiTheme="minorEastAsia" w:eastAsiaTheme="minorEastAsia"/>
                <w:i/>
                <w:sz w:val="24"/>
                <w:szCs w:val="24"/>
              </w:rPr>
            </m:ctrlPr>
          </m:sSubSup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imax</m:t>
            </m:r>
            <m:ctrlPr>
              <w:rPr>
                <w:rFonts w:ascii="Cambria Math" w:hAnsiTheme="minorEastAsia" w:eastAsiaTheme="minorEastAsia"/>
                <w:i/>
                <w:sz w:val="24"/>
                <w:szCs w:val="24"/>
              </w:rPr>
            </m:ctrlPr>
          </m:sub>
          <m:sup>
            <m:r>
              <m:rPr/>
              <w:rPr>
                <w:rFonts w:asciiTheme="minorEastAsia" w:hAnsiTheme="minorEastAsia" w:eastAsiaTheme="minorEastAsia"/>
                <w:sz w:val="24"/>
                <w:szCs w:val="24"/>
              </w:rPr>
              <m:t>'</m:t>
            </m:r>
            <m:ctrlPr>
              <w:rPr>
                <w:rFonts w:ascii="Cambria Math" w:hAnsiTheme="minorEastAsia" w:eastAsiaTheme="minorEastAsia"/>
                <w:i/>
                <w:sz w:val="24"/>
                <w:szCs w:val="24"/>
              </w:rPr>
            </m:ctrlPr>
            <w:bookmarkEnd w:id="40"/>
          </m:sup>
        </m:sSubSup>
      </m:oMath>
      <w:r>
        <w:rPr>
          <w:rFonts w:hint="eastAsia" w:asciiTheme="minorEastAsia" w:hAnsiTheme="minorEastAsia" w:eastAsiaTheme="minorEastAsia"/>
          <w:sz w:val="24"/>
          <w:szCs w:val="24"/>
        </w:rPr>
        <w:t>---测力仪同一校准点读数的最大值，kN，</w:t>
      </w:r>
    </w:p>
    <w:p w14:paraId="0D1BEA80">
      <w:pPr>
        <w:pStyle w:val="19"/>
        <w:spacing w:line="360" w:lineRule="auto"/>
        <w:ind w:firstLine="1200" w:firstLineChars="500"/>
        <w:jc w:val="left"/>
        <w:rPr>
          <w:rFonts w:asciiTheme="minorEastAsia" w:hAnsiTheme="minorEastAsia" w:eastAsiaTheme="minorEastAsia"/>
          <w:sz w:val="24"/>
          <w:szCs w:val="24"/>
        </w:rPr>
      </w:pPr>
      <m:oMath>
        <m:sSubSup>
          <w:bookmarkStart w:id="41" w:name="_Hlk180006907"/>
          <m:sSubSupPr>
            <m:ctrlPr>
              <w:rPr>
                <w:rFonts w:ascii="Cambria Math" w:hAnsiTheme="minorEastAsia" w:eastAsiaTheme="minorEastAsia"/>
                <w:i/>
                <w:sz w:val="24"/>
                <w:szCs w:val="24"/>
              </w:rPr>
            </m:ctrlPr>
          </m:sSubSup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imin</m:t>
            </m:r>
            <m:ctrlPr>
              <w:rPr>
                <w:rFonts w:ascii="Cambria Math" w:hAnsiTheme="minorEastAsia" w:eastAsiaTheme="minorEastAsia"/>
                <w:i/>
                <w:sz w:val="24"/>
                <w:szCs w:val="24"/>
              </w:rPr>
            </m:ctrlPr>
          </m:sub>
          <m:sup>
            <m:r>
              <m:rPr/>
              <w:rPr>
                <w:rFonts w:asciiTheme="minorEastAsia" w:hAnsiTheme="minorEastAsia" w:eastAsiaTheme="minorEastAsia"/>
                <w:sz w:val="24"/>
                <w:szCs w:val="24"/>
              </w:rPr>
              <m:t>'</m:t>
            </m:r>
            <w:bookmarkEnd w:id="41"/>
            <m:ctrlPr>
              <w:rPr>
                <w:rFonts w:ascii="Cambria Math" w:hAnsiTheme="minorEastAsia" w:eastAsiaTheme="minorEastAsia"/>
                <w:i/>
                <w:sz w:val="24"/>
                <w:szCs w:val="24"/>
              </w:rPr>
            </m:ctrlPr>
          </m:sup>
        </m:sSubSup>
      </m:oMath>
      <w:r>
        <w:rPr>
          <w:rFonts w:hint="eastAsia" w:asciiTheme="minorEastAsia" w:hAnsiTheme="minorEastAsia" w:eastAsiaTheme="minorEastAsia"/>
          <w:sz w:val="24"/>
          <w:szCs w:val="24"/>
        </w:rPr>
        <w:t xml:space="preserve"> ---测力仪同一校准点读数的最小值，kN，</w:t>
      </w:r>
    </w:p>
    <w:p w14:paraId="33A42347">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7.2.7.6 指示器以压力值为单位时：</w:t>
      </w:r>
    </w:p>
    <w:p w14:paraId="3DDF7766">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a)以测力仪标准值为准，在压力机指示器上读数时，按照公式(12)和(13)分别计算示值重复性</w:t>
      </w:r>
      <w:r>
        <w:rPr>
          <w:rFonts w:hint="eastAsia" w:asciiTheme="minorEastAsia" w:hAnsiTheme="minorEastAsia" w:eastAsiaTheme="minorEastAsia"/>
          <w:i/>
          <w:iCs/>
          <w:sz w:val="24"/>
          <w:szCs w:val="24"/>
        </w:rPr>
        <w:t>R</w:t>
      </w:r>
      <w:r>
        <w:rPr>
          <w:rFonts w:hint="eastAsia" w:asciiTheme="minorEastAsia" w:hAnsiTheme="minorEastAsia" w:eastAsiaTheme="minorEastAsia"/>
          <w:sz w:val="24"/>
          <w:szCs w:val="24"/>
        </w:rPr>
        <w:t>和内插误差</w:t>
      </w:r>
      <w:r>
        <w:rPr>
          <w:rFonts w:hint="eastAsia" w:asciiTheme="minorEastAsia" w:hAnsiTheme="minorEastAsia" w:eastAsiaTheme="minorEastAsia"/>
          <w:i/>
          <w:iCs/>
          <w:sz w:val="24"/>
          <w:szCs w:val="24"/>
        </w:rPr>
        <w:t>I</w:t>
      </w:r>
      <w:r>
        <w:rPr>
          <w:rFonts w:hint="eastAsia" w:asciiTheme="minorEastAsia" w:hAnsiTheme="minorEastAsia" w:eastAsiaTheme="minorEastAsia"/>
          <w:sz w:val="24"/>
          <w:szCs w:val="24"/>
        </w:rPr>
        <w:t xml:space="preserve"> , 其结果应符合表3的要求。</w:t>
      </w:r>
    </w:p>
    <w:p w14:paraId="0F500D82">
      <w:pPr>
        <w:pStyle w:val="19"/>
        <w:spacing w:line="360" w:lineRule="auto"/>
        <w:ind w:firstLine="48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object>
          <v:shape id="_x0000_i1026" o:spt="75" type="#_x0000_t75" style="height:36pt;width:114.1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7" r:id="rId14">
            <o:LockedField>false</o:LockedField>
          </o:OLEObject>
        </w:object>
      </w:r>
      <w:r>
        <w:rPr>
          <w:rFonts w:hint="eastAsia" w:asciiTheme="minorEastAsia" w:hAnsiTheme="minorEastAsia" w:eastAsiaTheme="minorEastAsia"/>
          <w:sz w:val="24"/>
          <w:szCs w:val="24"/>
        </w:rPr>
        <w:t xml:space="preserve">                             (12)</w:t>
      </w:r>
    </w:p>
    <w:p w14:paraId="00F8C8F3">
      <w:pPr>
        <w:pStyle w:val="19"/>
        <w:spacing w:line="360" w:lineRule="auto"/>
        <w:ind w:firstLine="480"/>
        <w:jc w:val="center"/>
        <w:rPr>
          <w:rFonts w:asciiTheme="minorEastAsia" w:hAnsiTheme="minorEastAsia" w:eastAsiaTheme="minorEastAsia"/>
          <w:sz w:val="24"/>
          <w:szCs w:val="24"/>
        </w:rPr>
      </w:pPr>
      <m:oMath>
        <m:r>
          <m:rPr/>
          <w:rPr>
            <w:rFonts w:ascii="Cambria Math" w:hAnsiTheme="minorEastAsia" w:eastAsiaTheme="minorEastAsia"/>
            <w:sz w:val="24"/>
            <w:szCs w:val="24"/>
          </w:rPr>
          <m:t>I=</m:t>
        </m:r>
        <m:f>
          <m:fPr>
            <m:ctrlPr>
              <w:rPr>
                <w:rFonts w:ascii="Cambria Math" w:hAnsiTheme="minorEastAsia" w:eastAsiaTheme="minorEastAsia"/>
                <w:i/>
                <w:sz w:val="24"/>
                <w:szCs w:val="24"/>
              </w:rPr>
            </m:ctrlPr>
          </m:fPr>
          <m:num>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ci</m:t>
                </m:r>
                <m:ctrlPr>
                  <w:rPr>
                    <w:rFonts w:ascii="Cambria Math" w:hAnsiTheme="minorEastAsia" w:eastAsiaTheme="minorEastAsia"/>
                    <w:i/>
                    <w:sz w:val="24"/>
                    <w:szCs w:val="24"/>
                  </w:rPr>
                </m:ctrlPr>
              </m:sub>
            </m:sSub>
            <m:r>
              <m:rPr/>
              <w:rPr>
                <w:rFonts w:asciiTheme="minorEastAsia" w:eastAsiaTheme="minorEastAsia"/>
                <w:sz w:val="24"/>
                <w:szCs w:val="24"/>
              </w:rPr>
              <m:t>−</m:t>
            </m:r>
            <m:bar>
              <m:barPr>
                <m:pos m:val="top"/>
                <m:ctrlPr>
                  <w:rPr>
                    <w:rFonts w:ascii="Cambria Math" w:hAnsiTheme="minorEastAsia" w:eastAsiaTheme="minorEastAsia"/>
                    <w:i/>
                    <w:sz w:val="24"/>
                    <w:szCs w:val="24"/>
                  </w:rPr>
                </m:ctrlPr>
              </m:bar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bar>
            <m:ctrlPr>
              <w:rPr>
                <w:rFonts w:ascii="Cambria Math" w:hAnsiTheme="minorEastAsia" w:eastAsiaTheme="minorEastAsia"/>
                <w:i/>
                <w:sz w:val="24"/>
                <w:szCs w:val="24"/>
              </w:rPr>
            </m:ctrlPr>
          </m:num>
          <m:den>
            <m:bar>
              <m:barPr>
                <m:pos m:val="top"/>
                <m:ctrlPr>
                  <w:rPr>
                    <w:rFonts w:ascii="Cambria Math" w:hAnsiTheme="minorEastAsia" w:eastAsiaTheme="minorEastAsia"/>
                    <w:i/>
                    <w:sz w:val="24"/>
                    <w:szCs w:val="24"/>
                  </w:rPr>
                </m:ctrlPr>
              </m:bar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bar>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(13)</w:t>
      </w:r>
    </w:p>
    <w:p w14:paraId="3607B137">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式中：</w:t>
      </w:r>
    </w:p>
    <w:p w14:paraId="7E4A051A">
      <w:pPr>
        <w:pStyle w:val="19"/>
        <w:spacing w:line="360" w:lineRule="auto"/>
        <w:ind w:firstLine="480"/>
        <w:rPr>
          <w:rFonts w:asciiTheme="minorEastAsia" w:hAnsiTheme="minorEastAsia" w:eastAsiaTheme="minorEastAsia"/>
          <w:sz w:val="24"/>
          <w:szCs w:val="24"/>
        </w:rPr>
      </w:pPr>
      <m:oMath>
        <m:sSub>
          <w:bookmarkStart w:id="42" w:name="_Hlk176293514"/>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imax</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---压力机同一校准点读数的最大值，MPa</w:t>
      </w:r>
      <w:bookmarkEnd w:id="42"/>
      <w:r>
        <w:rPr>
          <w:rFonts w:hint="eastAsia" w:asciiTheme="minorEastAsia" w:hAnsiTheme="minorEastAsia" w:eastAsiaTheme="minorEastAsia"/>
          <w:sz w:val="24"/>
          <w:szCs w:val="24"/>
        </w:rPr>
        <w:t>，</w:t>
      </w:r>
    </w:p>
    <w:p w14:paraId="37FE188F">
      <w:pPr>
        <w:pStyle w:val="19"/>
        <w:spacing w:line="360" w:lineRule="auto"/>
        <w:ind w:firstLine="480"/>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imin</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---压力机同一校准点读数的最小值，MPa，</w:t>
      </w:r>
    </w:p>
    <w:p w14:paraId="3599E9D9">
      <w:pPr>
        <w:pStyle w:val="19"/>
        <w:spacing w:line="360" w:lineRule="auto"/>
        <w:ind w:firstLine="480"/>
        <w:rPr>
          <w:rFonts w:asciiTheme="minorEastAsia" w:hAnsiTheme="minorEastAsia" w:eastAsiaTheme="minorEastAsia"/>
          <w:color w:val="606060"/>
          <w:sz w:val="24"/>
          <w:szCs w:val="24"/>
        </w:rPr>
      </w:pPr>
      <m:oMath>
        <m:bar>
          <m:barPr>
            <m:pos m:val="top"/>
            <m:ctrlPr>
              <w:rPr>
                <w:rFonts w:ascii="Cambria Math" w:hAnsiTheme="minorEastAsia" w:eastAsiaTheme="minorEastAsia"/>
                <w:i/>
                <w:sz w:val="24"/>
                <w:szCs w:val="24"/>
              </w:rPr>
            </m:ctrlPr>
          </m:bar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bar>
      </m:oMath>
      <w:r>
        <w:rPr>
          <w:rFonts w:hint="eastAsia" w:asciiTheme="minorEastAsia" w:hAnsiTheme="minorEastAsia" w:eastAsiaTheme="minorEastAsia"/>
          <w:sz w:val="24"/>
          <w:szCs w:val="24"/>
        </w:rPr>
        <w:t>---</w:t>
      </w:r>
      <w:r>
        <w:rPr>
          <w:rFonts w:asciiTheme="minorEastAsia" w:hAnsiTheme="minorEastAsia" w:eastAsiaTheme="minorEastAsia"/>
          <w:sz w:val="24"/>
          <w:szCs w:val="24"/>
        </w:rPr>
        <w:t>压力机同一校准点3次读数的算术平均值，MPa</w:t>
      </w:r>
      <w:r>
        <w:rPr>
          <w:rFonts w:hint="eastAsia" w:asciiTheme="minorEastAsia" w:hAnsiTheme="minorEastAsia" w:eastAsiaTheme="minorEastAsia"/>
          <w:sz w:val="24"/>
          <w:szCs w:val="24"/>
        </w:rPr>
        <w:t>，</w:t>
      </w:r>
    </w:p>
    <w:p w14:paraId="35BDB4D1">
      <w:pPr>
        <w:pStyle w:val="19"/>
        <w:spacing w:line="360" w:lineRule="auto"/>
        <w:ind w:firstLine="480"/>
        <w:rPr>
          <w:rFonts w:asciiTheme="minorEastAsia" w:hAnsiTheme="minorEastAsia" w:eastAsiaTheme="minorEastAsia"/>
          <w:color w:val="606060"/>
          <w:spacing w:val="-15"/>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ci</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w:t>
      </w:r>
      <w:r>
        <w:rPr>
          <w:rFonts w:asciiTheme="minorEastAsia" w:hAnsiTheme="minorEastAsia" w:eastAsiaTheme="minorEastAsia"/>
          <w:sz w:val="24"/>
          <w:szCs w:val="24"/>
        </w:rPr>
        <w:t>由校准方程求出的与负荷相对应的示值拟合值，MPa</w:t>
      </w:r>
      <w:r>
        <w:rPr>
          <w:rFonts w:hint="eastAsia" w:asciiTheme="minorEastAsia" w:hAnsiTheme="minorEastAsia" w:eastAsiaTheme="minorEastAsia"/>
          <w:sz w:val="24"/>
          <w:szCs w:val="24"/>
        </w:rPr>
        <w:t>。</w:t>
      </w:r>
    </w:p>
    <w:p w14:paraId="3CBB8A6D">
      <w:pPr>
        <w:spacing w:line="360" w:lineRule="auto"/>
        <w:ind w:firstLine="480" w:firstLineChars="20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b)</w:t>
      </w:r>
      <w:r>
        <w:rPr>
          <w:rFonts w:cs="宋体" w:asciiTheme="minorEastAsia" w:hAnsiTheme="minorEastAsia" w:eastAsiaTheme="minorEastAsia"/>
          <w:kern w:val="0"/>
          <w:sz w:val="24"/>
          <w:szCs w:val="24"/>
        </w:rPr>
        <w:t>以压力机示值为准，在测力仪上读数时，按照公式</w:t>
      </w:r>
      <w:r>
        <w:rPr>
          <w:rFonts w:hint="eastAsia" w:cs="宋体" w:asciiTheme="minorEastAsia" w:hAnsiTheme="minorEastAsia" w:eastAsiaTheme="minorEastAsia"/>
          <w:kern w:val="0"/>
          <w:sz w:val="24"/>
          <w:szCs w:val="24"/>
        </w:rPr>
        <w:t>(14)(15)</w:t>
      </w:r>
      <w:r>
        <w:rPr>
          <w:rFonts w:cs="宋体" w:asciiTheme="minorEastAsia" w:hAnsiTheme="minorEastAsia" w:eastAsiaTheme="minorEastAsia"/>
          <w:kern w:val="0"/>
          <w:sz w:val="24"/>
          <w:szCs w:val="24"/>
        </w:rPr>
        <w:t>分别计算示值重复性</w:t>
      </w:r>
      <w:r>
        <w:rPr>
          <w:rFonts w:cs="宋体" w:asciiTheme="minorEastAsia" w:hAnsiTheme="minorEastAsia" w:eastAsiaTheme="minorEastAsia"/>
          <w:i/>
          <w:iCs/>
          <w:kern w:val="0"/>
          <w:sz w:val="24"/>
          <w:szCs w:val="24"/>
        </w:rPr>
        <w:t>R</w:t>
      </w:r>
      <w:r>
        <w:rPr>
          <w:rFonts w:asciiTheme="minorEastAsia" w:hAnsiTheme="minorEastAsia" w:eastAsiaTheme="minorEastAsia"/>
          <w:sz w:val="24"/>
          <w:szCs w:val="24"/>
        </w:rPr>
        <w:t>和内插误差</w:t>
      </w:r>
      <w:r>
        <w:rPr>
          <w:rFonts w:hint="eastAsia" w:asciiTheme="minorEastAsia" w:hAnsiTheme="minorEastAsia" w:eastAsiaTheme="minorEastAsia"/>
          <w:i/>
          <w:iCs/>
          <w:sz w:val="24"/>
          <w:szCs w:val="24"/>
        </w:rPr>
        <w:t>I,</w:t>
      </w:r>
      <w:r>
        <w:rPr>
          <w:rFonts w:asciiTheme="minorEastAsia" w:hAnsiTheme="minorEastAsia" w:eastAsiaTheme="minorEastAsia"/>
          <w:sz w:val="24"/>
          <w:szCs w:val="24"/>
        </w:rPr>
        <w:t>其结果应符合表</w:t>
      </w:r>
      <w:r>
        <w:rPr>
          <w:rFonts w:hint="eastAsia" w:asciiTheme="minorEastAsia" w:hAnsiTheme="minorEastAsia" w:eastAsiaTheme="minorEastAsia"/>
          <w:sz w:val="24"/>
          <w:szCs w:val="24"/>
        </w:rPr>
        <w:t>3</w:t>
      </w:r>
      <w:r>
        <w:rPr>
          <w:rFonts w:asciiTheme="minorEastAsia" w:hAnsiTheme="minorEastAsia" w:eastAsiaTheme="minorEastAsia"/>
          <w:sz w:val="24"/>
          <w:szCs w:val="24"/>
        </w:rPr>
        <w:t>的要求</w:t>
      </w:r>
      <w:r>
        <w:rPr>
          <w:rFonts w:hint="eastAsia" w:asciiTheme="minorEastAsia" w:hAnsiTheme="minorEastAsia" w:eastAsiaTheme="minorEastAsia"/>
          <w:sz w:val="24"/>
          <w:szCs w:val="24"/>
        </w:rPr>
        <w:t>。</w:t>
      </w:r>
    </w:p>
    <w:p w14:paraId="0BE7DFB7">
      <w:pPr>
        <w:pStyle w:val="19"/>
        <w:spacing w:line="360" w:lineRule="auto"/>
        <w:ind w:firstLine="48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object>
          <v:shape id="_x0000_i1027" o:spt="75" type="#_x0000_t75" style="height:29.9pt;width:120.2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8" r:id="rId16">
            <o:LockedField>false</o:LockedField>
          </o:OLEObject>
        </w:object>
      </w:r>
      <w:r>
        <w:rPr>
          <w:rFonts w:hint="eastAsia" w:asciiTheme="minorEastAsia" w:hAnsiTheme="minorEastAsia" w:eastAsiaTheme="minorEastAsia"/>
          <w:sz w:val="24"/>
          <w:szCs w:val="24"/>
        </w:rPr>
        <w:t xml:space="preserve">                           (14)</w:t>
      </w:r>
    </w:p>
    <w:p w14:paraId="05529515">
      <w:pPr>
        <w:pStyle w:val="19"/>
        <w:spacing w:line="360" w:lineRule="auto"/>
        <w:ind w:firstLine="480"/>
        <w:jc w:val="center"/>
        <w:rPr>
          <w:rFonts w:asciiTheme="minorEastAsia" w:hAnsiTheme="minorEastAsia" w:eastAsiaTheme="minorEastAsia"/>
          <w:sz w:val="24"/>
          <w:szCs w:val="24"/>
        </w:rPr>
      </w:pPr>
      <m:oMath>
        <m:r>
          <m:rPr/>
          <w:rPr>
            <w:rFonts w:ascii="Cambria Math" w:hAnsiTheme="minorEastAsia" w:eastAsiaTheme="minorEastAsia"/>
            <w:sz w:val="24"/>
            <w:szCs w:val="24"/>
          </w:rPr>
          <m:t>I=</m:t>
        </m:r>
        <m:f>
          <m:fPr>
            <m:ctrlPr>
              <w:rPr>
                <w:rFonts w:ascii="Cambria Math" w:hAnsiTheme="minorEastAsia" w:eastAsiaTheme="minorEastAsia"/>
                <w:i/>
                <w:sz w:val="24"/>
                <w:szCs w:val="24"/>
              </w:rPr>
            </m:ctrlPr>
          </m:fPr>
          <m:num>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r>
              <m:rPr/>
              <w:rPr>
                <w:rFonts w:asciiTheme="minorEastAsia" w:eastAsiaTheme="minorEastAsia"/>
                <w:sz w:val="24"/>
                <w:szCs w:val="24"/>
              </w:rPr>
              <m:t>−</m:t>
            </m:r>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ci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num>
          <m:den>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den>
        </m:f>
        <m:r>
          <m:rPr/>
          <w:rPr>
            <w:rFonts w:asciiTheme="minorEastAsia" w:hAnsiTheme="minorEastAsia" w:eastAsiaTheme="minorEastAsia"/>
            <w:sz w:val="24"/>
            <w:szCs w:val="24"/>
          </w:rPr>
          <m:t>×</m:t>
        </m:r>
        <m:r>
          <m:rPr/>
          <w:rPr>
            <w:rFonts w:ascii="Cambria Math" w:hAnsiTheme="minorEastAsia" w:eastAsiaTheme="minorEastAsia"/>
            <w:sz w:val="24"/>
            <w:szCs w:val="24"/>
          </w:rPr>
          <m:t>100%</m:t>
        </m:r>
      </m:oMath>
      <w:r>
        <w:rPr>
          <w:rFonts w:hint="eastAsia" w:asciiTheme="minorEastAsia" w:hAnsiTheme="minorEastAsia" w:eastAsiaTheme="minorEastAsia"/>
          <w:sz w:val="24"/>
          <w:szCs w:val="24"/>
        </w:rPr>
        <w:t xml:space="preserve">                                (15)</w:t>
      </w:r>
    </w:p>
    <w:p w14:paraId="4A7765C0">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式中：</w:t>
      </w: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imax</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w:t>
      </w:r>
      <w:r>
        <w:rPr>
          <w:rFonts w:asciiTheme="minorEastAsia" w:hAnsiTheme="minorEastAsia" w:eastAsiaTheme="minorEastAsia"/>
          <w:sz w:val="24"/>
          <w:szCs w:val="24"/>
        </w:rPr>
        <w:t>测力仪同一校准点读数的最大值，kN</w:t>
      </w:r>
      <w:r>
        <w:rPr>
          <w:rFonts w:hint="eastAsia" w:asciiTheme="minorEastAsia" w:hAnsiTheme="minorEastAsia" w:eastAsiaTheme="minorEastAsia"/>
          <w:sz w:val="24"/>
          <w:szCs w:val="24"/>
        </w:rPr>
        <w:t>，</w:t>
      </w:r>
    </w:p>
    <w:p w14:paraId="6C44EA59">
      <w:pPr>
        <w:pStyle w:val="19"/>
        <w:spacing w:line="360" w:lineRule="auto"/>
        <w:ind w:firstLine="480"/>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F</m:t>
            </m:r>
            <m:ctrlPr>
              <w:rPr>
                <w:rFonts w:ascii="Cambria Math" w:hAnsiTheme="minorEastAsia" w:eastAsiaTheme="minorEastAsia"/>
                <w:i/>
                <w:sz w:val="24"/>
                <w:szCs w:val="24"/>
              </w:rPr>
            </m:ctrlPr>
          </m:e>
          <m:sub>
            <m:r>
              <m:rPr/>
              <w:rPr>
                <w:rFonts w:ascii="Cambria Math" w:hAnsiTheme="minorEastAsia" w:eastAsiaTheme="minorEastAsia"/>
                <w:sz w:val="24"/>
                <w:szCs w:val="24"/>
              </w:rPr>
              <m:t>imin</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测力仪同一校准点读数的最</w:t>
      </w:r>
      <w:r>
        <w:rPr>
          <w:rFonts w:hint="eastAsia" w:asciiTheme="minorEastAsia" w:hAnsiTheme="minorEastAsia" w:eastAsiaTheme="minorEastAsia"/>
          <w:sz w:val="24"/>
          <w:szCs w:val="24"/>
        </w:rPr>
        <w:t>小</w:t>
      </w:r>
      <w:r>
        <w:rPr>
          <w:rFonts w:asciiTheme="minorEastAsia" w:hAnsiTheme="minorEastAsia" w:eastAsiaTheme="minorEastAsia"/>
          <w:sz w:val="24"/>
          <w:szCs w:val="24"/>
        </w:rPr>
        <w:t>值，kN</w:t>
      </w:r>
      <w:r>
        <w:rPr>
          <w:rFonts w:hint="eastAsia" w:asciiTheme="minorEastAsia" w:hAnsiTheme="minorEastAsia" w:eastAsiaTheme="minorEastAsia"/>
          <w:sz w:val="24"/>
          <w:szCs w:val="24"/>
        </w:rPr>
        <w:t>，</w:t>
      </w:r>
    </w:p>
    <w:p w14:paraId="44164611">
      <w:pPr>
        <w:pStyle w:val="19"/>
        <w:spacing w:line="360" w:lineRule="auto"/>
        <w:ind w:firstLine="480"/>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bar>
              <m:barPr>
                <m:pos m:val="top"/>
                <m:ctrlPr>
                  <w:rPr>
                    <w:rFonts w:ascii="Cambria Math" w:hAnsiTheme="minorEastAsia" w:eastAsiaTheme="minorEastAsia"/>
                    <w:i/>
                    <w:sz w:val="24"/>
                    <w:szCs w:val="24"/>
                  </w:rPr>
                </m:ctrlPr>
              </m:barPr>
              <m:e>
                <m:r>
                  <m:rPr/>
                  <w:rPr>
                    <w:rFonts w:ascii="Cambria Math" w:hAnsiTheme="minorEastAsia" w:eastAsiaTheme="minorEastAsia"/>
                    <w:sz w:val="24"/>
                    <w:szCs w:val="24"/>
                  </w:rPr>
                  <m:t>F</m:t>
                </m:r>
                <m:ctrlPr>
                  <w:rPr>
                    <w:rFonts w:ascii="Cambria Math" w:hAnsiTheme="minorEastAsia" w:eastAsiaTheme="minorEastAsia"/>
                    <w:i/>
                    <w:sz w:val="24"/>
                    <w:szCs w:val="24"/>
                  </w:rPr>
                </m:ctrlPr>
              </m:e>
            </m:ba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w:t>
      </w:r>
      <w:r>
        <w:rPr>
          <w:rFonts w:asciiTheme="minorEastAsia" w:hAnsiTheme="minorEastAsia" w:eastAsiaTheme="minorEastAsia"/>
          <w:sz w:val="24"/>
          <w:szCs w:val="24"/>
        </w:rPr>
        <w:t>测力仪同一校准点三次读数的算术平均值，kN</w:t>
      </w:r>
      <w:r>
        <w:rPr>
          <w:rFonts w:hint="eastAsia" w:asciiTheme="minorEastAsia" w:hAnsiTheme="minorEastAsia" w:eastAsiaTheme="minorEastAsia"/>
          <w:sz w:val="24"/>
          <w:szCs w:val="24"/>
        </w:rPr>
        <w:t>，</w:t>
      </w:r>
    </w:p>
    <w:p w14:paraId="570FB8E5">
      <w:pPr>
        <w:pStyle w:val="19"/>
        <w:spacing w:line="360" w:lineRule="auto"/>
        <w:ind w:firstLine="480"/>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w:t>
      </w:r>
      <w:r>
        <w:rPr>
          <w:rFonts w:asciiTheme="minorEastAsia" w:hAnsiTheme="minorEastAsia" w:eastAsiaTheme="minorEastAsia"/>
          <w:sz w:val="24"/>
          <w:szCs w:val="24"/>
        </w:rPr>
        <w:t>校准点对应的压力机指示器压力示值，MPa</w:t>
      </w:r>
      <w:r>
        <w:rPr>
          <w:rFonts w:hint="eastAsia" w:asciiTheme="minorEastAsia" w:hAnsiTheme="minorEastAsia" w:eastAsiaTheme="minorEastAsia"/>
          <w:sz w:val="24"/>
          <w:szCs w:val="24"/>
        </w:rPr>
        <w:t>，</w:t>
      </w:r>
    </w:p>
    <w:p w14:paraId="6ECC9ECD">
      <w:pPr>
        <w:pStyle w:val="19"/>
        <w:spacing w:line="360" w:lineRule="auto"/>
        <w:ind w:firstLine="480"/>
        <w:rPr>
          <w:rFonts w:asciiTheme="minorEastAsia" w:hAnsiTheme="minorEastAsia" w:eastAsiaTheme="minorEastAsia"/>
          <w:sz w:val="24"/>
          <w:szCs w:val="24"/>
        </w:rPr>
      </w:pPr>
      <m:oMath>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P</m:t>
            </m:r>
            <m:ctrlPr>
              <w:rPr>
                <w:rFonts w:ascii="Cambria Math" w:hAnsiTheme="minorEastAsia" w:eastAsiaTheme="minorEastAsia"/>
                <w:i/>
                <w:sz w:val="24"/>
                <w:szCs w:val="24"/>
              </w:rPr>
            </m:ctrlPr>
          </m:e>
          <m:sub>
            <m:r>
              <m:rPr/>
              <w:rPr>
                <w:rFonts w:ascii="Cambria Math" w:hAnsiTheme="minorEastAsia" w:eastAsiaTheme="minorEastAsia"/>
                <w:sz w:val="24"/>
                <w:szCs w:val="24"/>
              </w:rPr>
              <m:t>ci</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w:t>
      </w:r>
      <w:r>
        <w:rPr>
          <w:rFonts w:asciiTheme="minorEastAsia" w:hAnsiTheme="minorEastAsia" w:eastAsiaTheme="minorEastAsia"/>
          <w:sz w:val="24"/>
          <w:szCs w:val="24"/>
        </w:rPr>
        <w:t>由校准方程求出的与负荷相对应的示值拟合值，MPa</w:t>
      </w:r>
      <w:r>
        <w:rPr>
          <w:rFonts w:hint="eastAsia" w:asciiTheme="minorEastAsia" w:hAnsiTheme="minorEastAsia" w:eastAsiaTheme="minorEastAsia"/>
          <w:sz w:val="24"/>
          <w:szCs w:val="24"/>
        </w:rPr>
        <w:t>。</w:t>
      </w:r>
    </w:p>
    <w:p w14:paraId="35A0C871">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7.2.8 下压板尺寸校准</w:t>
      </w:r>
    </w:p>
    <w:p w14:paraId="2D540D00">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用游标卡尺对下压板边长进行校准，每对边不同位置测量三次，校准结果平均值应符合表4要求。</w:t>
      </w:r>
    </w:p>
    <w:p w14:paraId="507154F5">
      <w:pPr>
        <w:pStyle w:val="54"/>
        <w:numPr>
          <w:ilvl w:val="0"/>
          <w:numId w:val="19"/>
        </w:numPr>
        <w:spacing w:before="312" w:after="312"/>
        <w:rPr>
          <w:sz w:val="24"/>
          <w:szCs w:val="24"/>
        </w:rPr>
      </w:pPr>
      <w:r>
        <w:rPr>
          <w:rFonts w:hint="eastAsia"/>
          <w:sz w:val="24"/>
          <w:szCs w:val="24"/>
        </w:rPr>
        <w:t>校准结果表达</w:t>
      </w:r>
    </w:p>
    <w:p w14:paraId="4B11C506">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校准结果应在校准证书上反映，校准证书应至少包括以下信息：</w:t>
      </w:r>
    </w:p>
    <w:p w14:paraId="409262D7">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a)  标题：“校准证书”；</w:t>
      </w:r>
    </w:p>
    <w:p w14:paraId="63D3F550">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b)  实验室名称和地址；</w:t>
      </w:r>
    </w:p>
    <w:p w14:paraId="578783FC">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c)  进行校准的地点(如果与实验室的地址不同)；</w:t>
      </w:r>
    </w:p>
    <w:p w14:paraId="6A68D075">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d)  证书的唯一性标识(如编号),每页及总页数的标识；</w:t>
      </w:r>
    </w:p>
    <w:p w14:paraId="3B728B80">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e) 客户的名称和地址；</w:t>
      </w:r>
    </w:p>
    <w:p w14:paraId="271DF77A">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f)  被校对象的描述和明确标识；</w:t>
      </w:r>
    </w:p>
    <w:p w14:paraId="70454225">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g)  进行校准的日期，如果与校准结果的有效性和应用有关时，应说明被校对象的接收日期；</w:t>
      </w:r>
    </w:p>
    <w:p w14:paraId="69C0FBB6">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h)  如果与校准结果的有效性应用有关时，应对被校样品的抽样程序进行说明</w:t>
      </w:r>
    </w:p>
    <w:p w14:paraId="46BDBCAF">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i)  校准所依据的技术规范的标识，包括名称及代号；</w:t>
      </w:r>
    </w:p>
    <w:p w14:paraId="1CB95495">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j)  本次校准所用测量标准的溯源性及有效性说明；</w:t>
      </w:r>
    </w:p>
    <w:p w14:paraId="016DC7B9">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k)  校准环境的描述；</w:t>
      </w:r>
    </w:p>
    <w:p w14:paraId="2E056763">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l)  校准结果及其测量不确定度的说明；</w:t>
      </w:r>
    </w:p>
    <w:p w14:paraId="2B73F700">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m） 对校准规范的偏离的说明；</w:t>
      </w:r>
    </w:p>
    <w:p w14:paraId="5ABC3035">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n)  校准证书和校准报告签发人的签名、职务或等效标识；</w:t>
      </w:r>
    </w:p>
    <w:p w14:paraId="076E2179">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o)  校准结果仅对被校对象有效的声明；</w:t>
      </w:r>
    </w:p>
    <w:p w14:paraId="73980E6E">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p） 未经实验室书面批准，不得部分复制证书的声明。</w:t>
      </w:r>
    </w:p>
    <w:p w14:paraId="30CB2887">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校准证书内页格式见附录A, 校准原始记录格式见附录B。</w:t>
      </w:r>
    </w:p>
    <w:p w14:paraId="05223CE5">
      <w:pPr>
        <w:pStyle w:val="54"/>
        <w:numPr>
          <w:ilvl w:val="0"/>
          <w:numId w:val="2"/>
        </w:numPr>
        <w:spacing w:beforeLines="0" w:afterLines="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复校时间间隔</w:t>
      </w:r>
    </w:p>
    <w:p w14:paraId="5C348C73">
      <w:pPr>
        <w:pStyle w:val="19"/>
        <w:spacing w:line="360" w:lineRule="auto"/>
        <w:ind w:firstLine="480"/>
        <w:rPr>
          <w:rFonts w:asciiTheme="minorEastAsia" w:hAnsiTheme="minorEastAsia" w:eastAsiaTheme="minorEastAsia"/>
          <w:sz w:val="24"/>
          <w:szCs w:val="24"/>
        </w:rPr>
      </w:pPr>
      <w:r>
        <w:rPr>
          <w:rFonts w:hint="eastAsia"/>
          <w:sz w:val="24"/>
        </w:rPr>
        <w:t>由于复校时间间隔的长短是由仪器的使用情况、使用者、仪器本身质量等诸因素所决定的，因此，送校单位可根据实际使用情况自主决定复校时间间隔，一般建议复校时间为6个月。</w:t>
      </w:r>
    </w:p>
    <w:p w14:paraId="587B8A66">
      <w:pPr>
        <w:pStyle w:val="19"/>
        <w:spacing w:line="360" w:lineRule="auto"/>
        <w:ind w:firstLine="0" w:firstLineChars="0"/>
        <w:rPr>
          <w:rFonts w:asciiTheme="minorEastAsia" w:hAnsiTheme="minorEastAsia" w:eastAsiaTheme="minorEastAsia"/>
          <w:sz w:val="24"/>
          <w:szCs w:val="24"/>
        </w:rPr>
      </w:pPr>
    </w:p>
    <w:p w14:paraId="58C278B2">
      <w:pPr>
        <w:pStyle w:val="19"/>
        <w:spacing w:line="360" w:lineRule="auto"/>
        <w:ind w:firstLine="0" w:firstLineChars="0"/>
        <w:rPr>
          <w:rFonts w:asciiTheme="minorEastAsia" w:hAnsiTheme="minorEastAsia" w:eastAsiaTheme="minorEastAsia"/>
          <w:sz w:val="24"/>
          <w:szCs w:val="24"/>
        </w:rPr>
      </w:pPr>
    </w:p>
    <w:p w14:paraId="273DA954">
      <w:pPr>
        <w:pStyle w:val="95"/>
        <w:numPr>
          <w:ilvl w:val="0"/>
          <w:numId w:val="0"/>
        </w:numPr>
        <w:jc w:val="both"/>
      </w:pPr>
    </w:p>
    <w:p w14:paraId="1F8C4883">
      <w:pPr>
        <w:pStyle w:val="93"/>
        <w:jc w:val="left"/>
        <w:rPr>
          <w:sz w:val="28"/>
          <w:szCs w:val="28"/>
        </w:rPr>
      </w:pPr>
    </w:p>
    <w:p w14:paraId="6EAF82E3">
      <w:pPr>
        <w:pStyle w:val="19"/>
        <w:ind w:firstLine="560"/>
        <w:jc w:val="center"/>
        <w:rPr>
          <w:rFonts w:ascii="黑体" w:hAnsi="黑体" w:eastAsia="黑体"/>
          <w:sz w:val="28"/>
          <w:szCs w:val="28"/>
        </w:rPr>
      </w:pPr>
      <w:r>
        <w:rPr>
          <w:rFonts w:hint="eastAsia" w:ascii="黑体" w:hAnsi="黑体" w:eastAsia="黑体"/>
          <w:sz w:val="28"/>
          <w:szCs w:val="28"/>
        </w:rPr>
        <w:t>原位压力机校准证书内页格式</w:t>
      </w:r>
    </w:p>
    <w:p w14:paraId="730F2DD1">
      <w:pPr>
        <w:pStyle w:val="19"/>
      </w:pPr>
      <w:r>
        <w:rPr>
          <w:rFonts w:hint="eastAsia"/>
        </w:rPr>
        <w:t>校准结果</w:t>
      </w:r>
    </w:p>
    <w:tbl>
      <w:tblPr>
        <w:tblStyle w:val="25"/>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709"/>
        <w:gridCol w:w="992"/>
        <w:gridCol w:w="1177"/>
        <w:gridCol w:w="666"/>
        <w:gridCol w:w="992"/>
        <w:gridCol w:w="567"/>
        <w:gridCol w:w="1276"/>
        <w:gridCol w:w="1559"/>
      </w:tblGrid>
      <w:tr w14:paraId="439D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139" w:type="dxa"/>
          </w:tcPr>
          <w:p w14:paraId="3860E3C8">
            <w:pPr>
              <w:pStyle w:val="19"/>
              <w:ind w:firstLine="0" w:firstLineChars="0"/>
              <w:jc w:val="center"/>
              <w:rPr>
                <w:rFonts w:hAnsi="宋体"/>
                <w:sz w:val="18"/>
                <w:szCs w:val="18"/>
              </w:rPr>
            </w:pPr>
            <w:r>
              <w:rPr>
                <w:rFonts w:hint="eastAsia" w:hAnsi="宋体"/>
                <w:sz w:val="18"/>
                <w:szCs w:val="18"/>
              </w:rPr>
              <w:t>外观检查</w:t>
            </w:r>
          </w:p>
        </w:tc>
        <w:tc>
          <w:tcPr>
            <w:tcW w:w="3544" w:type="dxa"/>
            <w:gridSpan w:val="4"/>
          </w:tcPr>
          <w:p w14:paraId="405A9529">
            <w:pPr>
              <w:pStyle w:val="19"/>
              <w:ind w:firstLine="360"/>
              <w:jc w:val="center"/>
              <w:rPr>
                <w:rFonts w:hAnsi="宋体"/>
                <w:sz w:val="18"/>
                <w:szCs w:val="18"/>
              </w:rPr>
            </w:pPr>
          </w:p>
        </w:tc>
        <w:tc>
          <w:tcPr>
            <w:tcW w:w="1559" w:type="dxa"/>
            <w:gridSpan w:val="2"/>
          </w:tcPr>
          <w:p w14:paraId="3C33AE0B">
            <w:pPr>
              <w:pStyle w:val="19"/>
              <w:ind w:firstLine="0" w:firstLineChars="0"/>
              <w:jc w:val="center"/>
              <w:rPr>
                <w:rFonts w:hAnsi="宋体"/>
                <w:sz w:val="18"/>
                <w:szCs w:val="18"/>
              </w:rPr>
            </w:pPr>
            <w:r>
              <w:rPr>
                <w:rFonts w:hint="eastAsia" w:hAnsi="宋体"/>
                <w:sz w:val="18"/>
                <w:szCs w:val="18"/>
              </w:rPr>
              <w:t>操作适应性</w:t>
            </w:r>
          </w:p>
        </w:tc>
        <w:tc>
          <w:tcPr>
            <w:tcW w:w="2835" w:type="dxa"/>
            <w:gridSpan w:val="2"/>
          </w:tcPr>
          <w:p w14:paraId="6B4B912D">
            <w:pPr>
              <w:pStyle w:val="19"/>
              <w:ind w:firstLine="360"/>
              <w:jc w:val="center"/>
              <w:rPr>
                <w:rFonts w:hAnsi="宋体"/>
                <w:sz w:val="18"/>
                <w:szCs w:val="18"/>
              </w:rPr>
            </w:pPr>
          </w:p>
        </w:tc>
      </w:tr>
      <w:tr w14:paraId="3CBD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vMerge w:val="restart"/>
            <w:tcBorders>
              <w:top w:val="single" w:color="auto" w:sz="4" w:space="0"/>
              <w:left w:val="single" w:color="auto" w:sz="4" w:space="0"/>
              <w:right w:val="single" w:color="auto" w:sz="4" w:space="0"/>
            </w:tcBorders>
            <w:shd w:val="clear" w:color="auto" w:fill="auto"/>
            <w:vAlign w:val="center"/>
          </w:tcPr>
          <w:p w14:paraId="3E0FA26D">
            <w:pPr>
              <w:jc w:val="center"/>
              <w:rPr>
                <w:rFonts w:ascii="宋体" w:hAnsi="宋体" w:cs="宋体"/>
                <w:kern w:val="0"/>
                <w:sz w:val="18"/>
                <w:szCs w:val="18"/>
              </w:rPr>
            </w:pPr>
            <w:r>
              <w:rPr>
                <w:rFonts w:hint="eastAsia" w:ascii="宋体" w:hAnsi="宋体" w:cs="宋体"/>
                <w:kern w:val="0"/>
                <w:sz w:val="18"/>
                <w:szCs w:val="18"/>
              </w:rPr>
              <w:t>指示器示值</w:t>
            </w:r>
          </w:p>
          <w:p w14:paraId="41A29B93">
            <w:pPr>
              <w:jc w:val="center"/>
              <w:rPr>
                <w:rFonts w:ascii="宋体" w:hAnsi="宋体" w:cs="宋体"/>
                <w:kern w:val="0"/>
                <w:sz w:val="18"/>
                <w:szCs w:val="18"/>
              </w:rPr>
            </w:pPr>
            <w:r>
              <w:rPr>
                <w:rFonts w:hint="eastAsia" w:ascii="宋体" w:hAnsi="宋体" w:cs="宋体"/>
                <w:kern w:val="0"/>
                <w:sz w:val="18"/>
                <w:szCs w:val="18"/>
              </w:rPr>
              <w:t>（）</w:t>
            </w:r>
          </w:p>
        </w:tc>
        <w:tc>
          <w:tcPr>
            <w:tcW w:w="709" w:type="dxa"/>
            <w:vMerge w:val="restart"/>
            <w:tcBorders>
              <w:top w:val="single" w:color="auto" w:sz="4" w:space="0"/>
              <w:left w:val="nil"/>
              <w:right w:val="single" w:color="auto" w:sz="4" w:space="0"/>
            </w:tcBorders>
            <w:shd w:val="clear" w:color="auto" w:fill="auto"/>
            <w:vAlign w:val="center"/>
          </w:tcPr>
          <w:p w14:paraId="1D77AB39">
            <w:pPr>
              <w:jc w:val="center"/>
              <w:rPr>
                <w:rFonts w:ascii="宋体" w:hAnsi="宋体" w:cs="宋体"/>
                <w:kern w:val="0"/>
                <w:sz w:val="18"/>
                <w:szCs w:val="18"/>
              </w:rPr>
            </w:pPr>
            <w:r>
              <w:rPr>
                <w:rFonts w:hint="eastAsia" w:ascii="宋体" w:hAnsi="宋体" w:cs="宋体"/>
                <w:kern w:val="0"/>
                <w:sz w:val="18"/>
                <w:szCs w:val="18"/>
              </w:rPr>
              <w:t>负荷</w:t>
            </w:r>
          </w:p>
          <w:p w14:paraId="4DA0AB54">
            <w:pPr>
              <w:jc w:val="center"/>
              <w:rPr>
                <w:rFonts w:ascii="宋体" w:hAnsi="宋体" w:cs="宋体"/>
                <w:kern w:val="0"/>
                <w:sz w:val="18"/>
                <w:szCs w:val="18"/>
              </w:rPr>
            </w:pPr>
            <w:r>
              <w:rPr>
                <w:rFonts w:hint="eastAsia" w:ascii="宋体" w:hAnsi="宋体" w:cs="宋体"/>
                <w:kern w:val="0"/>
                <w:sz w:val="18"/>
                <w:szCs w:val="18"/>
              </w:rPr>
              <w:t>（）</w:t>
            </w:r>
          </w:p>
        </w:tc>
        <w:tc>
          <w:tcPr>
            <w:tcW w:w="992" w:type="dxa"/>
            <w:vMerge w:val="restart"/>
            <w:tcBorders>
              <w:top w:val="single" w:color="auto" w:sz="4" w:space="0"/>
              <w:left w:val="nil"/>
              <w:right w:val="single" w:color="auto" w:sz="4" w:space="0"/>
            </w:tcBorders>
            <w:shd w:val="clear" w:color="auto" w:fill="auto"/>
            <w:vAlign w:val="center"/>
          </w:tcPr>
          <w:p w14:paraId="421DD224">
            <w:pPr>
              <w:jc w:val="center"/>
              <w:rPr>
                <w:rFonts w:ascii="宋体" w:hAnsi="宋体" w:cs="宋体"/>
                <w:kern w:val="0"/>
                <w:sz w:val="18"/>
                <w:szCs w:val="18"/>
              </w:rPr>
            </w:pPr>
            <w:r>
              <w:rPr>
                <w:rFonts w:hint="eastAsia" w:ascii="宋体" w:hAnsi="宋体" w:cs="宋体"/>
                <w:kern w:val="0"/>
                <w:sz w:val="18"/>
                <w:szCs w:val="18"/>
              </w:rPr>
              <w:t>示值误差</w:t>
            </w:r>
          </w:p>
          <w:p w14:paraId="0E1B74BA">
            <w:pPr>
              <w:jc w:val="center"/>
              <w:rPr>
                <w:rFonts w:ascii="宋体" w:hAnsi="宋体" w:cs="宋体"/>
                <w:kern w:val="0"/>
                <w:sz w:val="18"/>
                <w:szCs w:val="18"/>
              </w:rPr>
            </w:pPr>
            <w:r>
              <w:rPr>
                <w:rFonts w:hint="eastAsia" w:ascii="宋体" w:hAnsi="宋体" w:cs="宋体"/>
                <w:kern w:val="0"/>
                <w:sz w:val="18"/>
                <w:szCs w:val="18"/>
              </w:rPr>
              <w:t>（</w:t>
            </w:r>
            <w:r>
              <w:rPr>
                <w:rFonts w:ascii="Times New Roman" w:hAnsi="Times New Roman" w:cs="Times New Roman"/>
                <w:kern w:val="0"/>
                <w:sz w:val="18"/>
                <w:szCs w:val="18"/>
              </w:rPr>
              <w:t>%</w:t>
            </w:r>
            <w:r>
              <w:rPr>
                <w:rFonts w:hint="eastAsia" w:ascii="宋体" w:hAnsi="宋体" w:cs="宋体"/>
                <w:kern w:val="0"/>
                <w:sz w:val="18"/>
                <w:szCs w:val="18"/>
              </w:rPr>
              <w:t>）</w:t>
            </w:r>
          </w:p>
        </w:tc>
        <w:tc>
          <w:tcPr>
            <w:tcW w:w="1177" w:type="dxa"/>
            <w:vMerge w:val="restart"/>
            <w:tcBorders>
              <w:top w:val="single" w:color="auto" w:sz="4" w:space="0"/>
              <w:left w:val="nil"/>
              <w:right w:val="single" w:color="auto" w:sz="4" w:space="0"/>
            </w:tcBorders>
            <w:shd w:val="clear" w:color="auto" w:fill="auto"/>
            <w:vAlign w:val="center"/>
          </w:tcPr>
          <w:p w14:paraId="190A8B23">
            <w:pPr>
              <w:jc w:val="center"/>
              <w:rPr>
                <w:rFonts w:ascii="宋体" w:hAnsi="宋体" w:cs="宋体"/>
                <w:kern w:val="0"/>
                <w:sz w:val="18"/>
                <w:szCs w:val="18"/>
              </w:rPr>
            </w:pPr>
            <w:r>
              <w:rPr>
                <w:rFonts w:hint="eastAsia" w:ascii="宋体" w:hAnsi="宋体" w:cs="宋体"/>
                <w:kern w:val="0"/>
                <w:sz w:val="18"/>
                <w:szCs w:val="18"/>
              </w:rPr>
              <w:t>示值重复性</w:t>
            </w:r>
          </w:p>
          <w:p w14:paraId="6D5D0A46">
            <w:pPr>
              <w:jc w:val="center"/>
              <w:rPr>
                <w:rFonts w:ascii="宋体" w:hAnsi="宋体" w:cs="宋体"/>
                <w:kern w:val="0"/>
                <w:sz w:val="18"/>
                <w:szCs w:val="18"/>
              </w:rPr>
            </w:pPr>
            <w:r>
              <w:rPr>
                <w:rFonts w:hint="eastAsia" w:ascii="宋体" w:hAnsi="宋体" w:cs="宋体"/>
                <w:kern w:val="0"/>
                <w:sz w:val="18"/>
                <w:szCs w:val="18"/>
              </w:rPr>
              <w:t>（</w:t>
            </w:r>
            <w:r>
              <w:rPr>
                <w:rFonts w:ascii="Times New Roman" w:hAnsi="Times New Roman" w:cs="Times New Roman"/>
                <w:kern w:val="0"/>
                <w:sz w:val="18"/>
                <w:szCs w:val="18"/>
              </w:rPr>
              <w:t>%</w:t>
            </w:r>
            <w:r>
              <w:rPr>
                <w:rFonts w:hint="eastAsia" w:ascii="宋体" w:hAnsi="宋体" w:cs="宋体"/>
                <w:kern w:val="0"/>
                <w:sz w:val="18"/>
                <w:szCs w:val="18"/>
              </w:rPr>
              <w:t>）</w:t>
            </w:r>
          </w:p>
        </w:tc>
        <w:tc>
          <w:tcPr>
            <w:tcW w:w="666" w:type="dxa"/>
            <w:vMerge w:val="restart"/>
            <w:tcBorders>
              <w:top w:val="single" w:color="auto" w:sz="4" w:space="0"/>
              <w:left w:val="nil"/>
              <w:right w:val="single" w:color="auto" w:sz="4" w:space="0"/>
            </w:tcBorders>
            <w:shd w:val="clear" w:color="auto" w:fill="auto"/>
            <w:vAlign w:val="center"/>
          </w:tcPr>
          <w:p w14:paraId="3ECFD108">
            <w:pPr>
              <w:rPr>
                <w:rFonts w:asciiTheme="minorEastAsia" w:hAnsiTheme="minorEastAsia" w:eastAsiaTheme="minorEastAsia"/>
                <w:i/>
                <w:sz w:val="18"/>
                <w:szCs w:val="18"/>
                <w:vertAlign w:val="subscript"/>
              </w:rPr>
            </w:pPr>
            <w:r>
              <w:rPr>
                <w:rFonts w:hint="eastAsia" w:asciiTheme="minorEastAsia" w:hAnsiTheme="minorEastAsia" w:eastAsiaTheme="minorEastAsia"/>
                <w:i/>
                <w:sz w:val="18"/>
                <w:szCs w:val="18"/>
              </w:rPr>
              <w:t>U</w:t>
            </w:r>
            <w:r>
              <w:rPr>
                <w:rFonts w:hint="eastAsia" w:asciiTheme="minorEastAsia" w:hAnsiTheme="minorEastAsia" w:eastAsiaTheme="minorEastAsia"/>
                <w:sz w:val="18"/>
                <w:szCs w:val="18"/>
                <w:vertAlign w:val="subscript"/>
              </w:rPr>
              <w:t>rel</w:t>
            </w:r>
          </w:p>
          <w:p w14:paraId="598623B0">
            <w:pPr>
              <w:rPr>
                <w:rFonts w:ascii="宋体" w:hAnsi="宋体" w:cs="宋体"/>
                <w:kern w:val="0"/>
                <w:sz w:val="18"/>
                <w:szCs w:val="18"/>
              </w:rPr>
            </w:pPr>
            <w:r>
              <w:rPr>
                <w:rFonts w:hint="eastAsia" w:asciiTheme="minorEastAsia" w:hAnsiTheme="minorEastAsia" w:eastAsiaTheme="minorEastAsia"/>
                <w:i/>
                <w:sz w:val="18"/>
                <w:szCs w:val="18"/>
              </w:rPr>
              <w:t>k</w:t>
            </w:r>
            <w:r>
              <w:rPr>
                <w:rFonts w:hint="eastAsia" w:asciiTheme="minorEastAsia" w:hAnsiTheme="minorEastAsia" w:eastAsiaTheme="minorEastAsia"/>
                <w:sz w:val="18"/>
                <w:szCs w:val="18"/>
              </w:rPr>
              <w:t>=2</w:t>
            </w:r>
          </w:p>
        </w:tc>
        <w:tc>
          <w:tcPr>
            <w:tcW w:w="992" w:type="dxa"/>
            <w:vMerge w:val="restart"/>
            <w:tcBorders>
              <w:top w:val="single" w:color="auto" w:sz="4" w:space="0"/>
              <w:left w:val="nil"/>
              <w:right w:val="single" w:color="auto" w:sz="4" w:space="0"/>
            </w:tcBorders>
            <w:shd w:val="clear" w:color="auto" w:fill="auto"/>
            <w:vAlign w:val="center"/>
          </w:tcPr>
          <w:p w14:paraId="76B1609A">
            <w:pPr>
              <w:jc w:val="center"/>
              <w:rPr>
                <w:rFonts w:ascii="宋体" w:hAnsi="宋体" w:cs="宋体"/>
                <w:kern w:val="0"/>
                <w:sz w:val="18"/>
                <w:szCs w:val="18"/>
              </w:rPr>
            </w:pPr>
            <w:r>
              <w:rPr>
                <w:rFonts w:hint="eastAsia" w:ascii="宋体" w:hAnsi="宋体" w:cs="宋体"/>
                <w:kern w:val="0"/>
                <w:sz w:val="18"/>
                <w:szCs w:val="18"/>
              </w:rPr>
              <w:t>内插误差</w:t>
            </w:r>
          </w:p>
          <w:p w14:paraId="715C0070">
            <w:pPr>
              <w:jc w:val="center"/>
              <w:rPr>
                <w:rFonts w:ascii="宋体" w:hAnsi="宋体" w:cs="宋体"/>
                <w:kern w:val="0"/>
                <w:sz w:val="18"/>
                <w:szCs w:val="18"/>
              </w:rPr>
            </w:pPr>
            <w:r>
              <w:rPr>
                <w:rFonts w:hint="eastAsia" w:ascii="宋体" w:hAnsi="宋体" w:cs="宋体"/>
                <w:kern w:val="0"/>
                <w:sz w:val="18"/>
                <w:szCs w:val="18"/>
              </w:rPr>
              <w:t>（</w:t>
            </w:r>
            <w:r>
              <w:rPr>
                <w:rFonts w:ascii="Times New Roman" w:hAnsi="Times New Roman" w:cs="Times New Roman"/>
                <w:kern w:val="0"/>
                <w:sz w:val="18"/>
                <w:szCs w:val="18"/>
              </w:rPr>
              <w:t>%</w:t>
            </w:r>
            <w:r>
              <w:rPr>
                <w:rFonts w:hint="eastAsia" w:ascii="宋体" w:hAnsi="宋体" w:cs="宋体"/>
                <w:kern w:val="0"/>
                <w:sz w:val="18"/>
                <w:szCs w:val="18"/>
              </w:rPr>
              <w:t>）</w:t>
            </w:r>
          </w:p>
        </w:tc>
        <w:tc>
          <w:tcPr>
            <w:tcW w:w="567" w:type="dxa"/>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14:paraId="401A0783">
            <w:pPr>
              <w:jc w:val="center"/>
              <w:rPr>
                <w:rFonts w:ascii="宋体" w:hAnsi="宋体" w:cs="宋体"/>
                <w:kern w:val="0"/>
                <w:sz w:val="18"/>
                <w:szCs w:val="18"/>
              </w:rPr>
            </w:pPr>
            <w:r>
              <w:rPr>
                <w:rFonts w:hint="eastAsia" w:ascii="宋体" w:hAnsi="宋体" w:cs="宋体"/>
                <w:kern w:val="0"/>
                <w:sz w:val="18"/>
                <w:szCs w:val="18"/>
              </w:rPr>
              <w:t>指示器</w:t>
            </w:r>
          </w:p>
        </w:tc>
        <w:tc>
          <w:tcPr>
            <w:tcW w:w="1276" w:type="dxa"/>
            <w:tcBorders>
              <w:top w:val="single" w:color="auto" w:sz="4" w:space="0"/>
              <w:left w:val="nil"/>
              <w:bottom w:val="single" w:color="auto" w:sz="4" w:space="0"/>
              <w:right w:val="single" w:color="auto" w:sz="4" w:space="0"/>
            </w:tcBorders>
            <w:shd w:val="clear" w:color="auto" w:fill="auto"/>
            <w:vAlign w:val="center"/>
          </w:tcPr>
          <w:p w14:paraId="5D6D01BC">
            <w:pPr>
              <w:jc w:val="left"/>
              <w:rPr>
                <w:rFonts w:ascii="宋体" w:hAnsi="宋体" w:cs="宋体"/>
                <w:kern w:val="0"/>
                <w:sz w:val="18"/>
                <w:szCs w:val="18"/>
              </w:rPr>
            </w:pPr>
            <w:r>
              <w:rPr>
                <w:rFonts w:hint="eastAsia" w:ascii="宋体" w:hAnsi="宋体" w:cs="宋体"/>
                <w:kern w:val="0"/>
                <w:sz w:val="18"/>
                <w:szCs w:val="18"/>
              </w:rPr>
              <w:t>指示器名称</w:t>
            </w:r>
          </w:p>
        </w:tc>
        <w:tc>
          <w:tcPr>
            <w:tcW w:w="1559" w:type="dxa"/>
            <w:tcBorders>
              <w:top w:val="single" w:color="auto" w:sz="4" w:space="0"/>
              <w:left w:val="nil"/>
              <w:bottom w:val="single" w:color="auto" w:sz="4" w:space="0"/>
              <w:right w:val="single" w:color="auto" w:sz="4" w:space="0"/>
            </w:tcBorders>
            <w:shd w:val="clear" w:color="auto" w:fill="auto"/>
            <w:vAlign w:val="center"/>
          </w:tcPr>
          <w:p w14:paraId="6F1C4F87">
            <w:pPr>
              <w:jc w:val="center"/>
              <w:rPr>
                <w:rFonts w:ascii="宋体" w:hAnsi="宋体" w:cs="宋体"/>
                <w:kern w:val="0"/>
                <w:sz w:val="18"/>
                <w:szCs w:val="18"/>
              </w:rPr>
            </w:pPr>
          </w:p>
        </w:tc>
      </w:tr>
      <w:tr w14:paraId="2F5C9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vMerge w:val="continue"/>
            <w:tcBorders>
              <w:left w:val="single" w:color="auto" w:sz="4" w:space="0"/>
              <w:bottom w:val="single" w:color="auto" w:sz="4" w:space="0"/>
              <w:right w:val="single" w:color="auto" w:sz="4" w:space="0"/>
            </w:tcBorders>
            <w:shd w:val="clear" w:color="auto" w:fill="auto"/>
            <w:vAlign w:val="center"/>
          </w:tcPr>
          <w:p w14:paraId="41C65163">
            <w:pPr>
              <w:jc w:val="center"/>
              <w:rPr>
                <w:rFonts w:ascii="宋体" w:hAnsi="宋体" w:cs="宋体"/>
                <w:kern w:val="0"/>
                <w:sz w:val="18"/>
                <w:szCs w:val="18"/>
              </w:rPr>
            </w:pPr>
          </w:p>
        </w:tc>
        <w:tc>
          <w:tcPr>
            <w:tcW w:w="709" w:type="dxa"/>
            <w:vMerge w:val="continue"/>
            <w:tcBorders>
              <w:left w:val="nil"/>
              <w:bottom w:val="single" w:color="auto" w:sz="4" w:space="0"/>
              <w:right w:val="single" w:color="auto" w:sz="4" w:space="0"/>
            </w:tcBorders>
            <w:shd w:val="clear" w:color="auto" w:fill="auto"/>
            <w:vAlign w:val="center"/>
          </w:tcPr>
          <w:p w14:paraId="6AD148A9">
            <w:pPr>
              <w:jc w:val="center"/>
              <w:rPr>
                <w:rFonts w:ascii="宋体" w:hAnsi="宋体" w:cs="宋体"/>
                <w:kern w:val="0"/>
                <w:sz w:val="18"/>
                <w:szCs w:val="18"/>
              </w:rPr>
            </w:pPr>
          </w:p>
        </w:tc>
        <w:tc>
          <w:tcPr>
            <w:tcW w:w="992" w:type="dxa"/>
            <w:vMerge w:val="continue"/>
            <w:tcBorders>
              <w:left w:val="nil"/>
              <w:bottom w:val="single" w:color="auto" w:sz="4" w:space="0"/>
              <w:right w:val="single" w:color="auto" w:sz="4" w:space="0"/>
            </w:tcBorders>
            <w:shd w:val="clear" w:color="auto" w:fill="auto"/>
            <w:vAlign w:val="center"/>
          </w:tcPr>
          <w:p w14:paraId="6962966D">
            <w:pPr>
              <w:jc w:val="center"/>
              <w:rPr>
                <w:rFonts w:ascii="宋体" w:hAnsi="宋体" w:cs="宋体"/>
                <w:kern w:val="0"/>
                <w:sz w:val="18"/>
                <w:szCs w:val="18"/>
              </w:rPr>
            </w:pPr>
          </w:p>
        </w:tc>
        <w:tc>
          <w:tcPr>
            <w:tcW w:w="1177" w:type="dxa"/>
            <w:vMerge w:val="continue"/>
            <w:tcBorders>
              <w:left w:val="nil"/>
              <w:bottom w:val="single" w:color="auto" w:sz="4" w:space="0"/>
              <w:right w:val="single" w:color="auto" w:sz="4" w:space="0"/>
            </w:tcBorders>
            <w:shd w:val="clear" w:color="auto" w:fill="auto"/>
            <w:vAlign w:val="center"/>
          </w:tcPr>
          <w:p w14:paraId="12335316">
            <w:pPr>
              <w:jc w:val="center"/>
              <w:rPr>
                <w:rFonts w:ascii="宋体" w:hAnsi="宋体" w:cs="宋体"/>
                <w:kern w:val="0"/>
                <w:sz w:val="18"/>
                <w:szCs w:val="18"/>
              </w:rPr>
            </w:pPr>
          </w:p>
        </w:tc>
        <w:tc>
          <w:tcPr>
            <w:tcW w:w="666" w:type="dxa"/>
            <w:vMerge w:val="continue"/>
            <w:tcBorders>
              <w:left w:val="nil"/>
              <w:bottom w:val="single" w:color="auto" w:sz="4" w:space="0"/>
              <w:right w:val="single" w:color="auto" w:sz="4" w:space="0"/>
            </w:tcBorders>
            <w:shd w:val="clear" w:color="auto" w:fill="auto"/>
            <w:vAlign w:val="center"/>
          </w:tcPr>
          <w:p w14:paraId="1B7130D6">
            <w:pPr>
              <w:jc w:val="center"/>
              <w:rPr>
                <w:rFonts w:ascii="宋体" w:hAnsi="宋体" w:cs="宋体"/>
                <w:kern w:val="0"/>
                <w:sz w:val="18"/>
                <w:szCs w:val="18"/>
              </w:rPr>
            </w:pPr>
          </w:p>
        </w:tc>
        <w:tc>
          <w:tcPr>
            <w:tcW w:w="992" w:type="dxa"/>
            <w:vMerge w:val="continue"/>
            <w:tcBorders>
              <w:left w:val="nil"/>
              <w:bottom w:val="single" w:color="auto" w:sz="4" w:space="0"/>
              <w:right w:val="single" w:color="auto" w:sz="4" w:space="0"/>
            </w:tcBorders>
            <w:shd w:val="clear" w:color="auto" w:fill="auto"/>
            <w:vAlign w:val="center"/>
          </w:tcPr>
          <w:p w14:paraId="76D99E9C">
            <w:pPr>
              <w:jc w:val="center"/>
              <w:rPr>
                <w:rFonts w:ascii="宋体" w:hAnsi="宋体" w:cs="宋体"/>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2372FB5B">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6818818F">
            <w:pPr>
              <w:jc w:val="left"/>
              <w:rPr>
                <w:rFonts w:ascii="宋体" w:hAnsi="宋体" w:cs="宋体"/>
                <w:kern w:val="0"/>
                <w:sz w:val="18"/>
                <w:szCs w:val="18"/>
              </w:rPr>
            </w:pPr>
            <w:r>
              <w:rPr>
                <w:rFonts w:hint="eastAsia" w:ascii="宋体" w:hAnsi="宋体" w:cs="宋体"/>
                <w:kern w:val="0"/>
                <w:sz w:val="18"/>
                <w:szCs w:val="18"/>
              </w:rPr>
              <w:t>准确度等级</w:t>
            </w:r>
          </w:p>
        </w:tc>
        <w:tc>
          <w:tcPr>
            <w:tcW w:w="1559" w:type="dxa"/>
            <w:tcBorders>
              <w:top w:val="nil"/>
              <w:left w:val="nil"/>
              <w:bottom w:val="single" w:color="auto" w:sz="4" w:space="0"/>
              <w:right w:val="single" w:color="auto" w:sz="4" w:space="0"/>
            </w:tcBorders>
            <w:shd w:val="clear" w:color="auto" w:fill="auto"/>
            <w:vAlign w:val="center"/>
          </w:tcPr>
          <w:p w14:paraId="4C5422E3">
            <w:pPr>
              <w:jc w:val="center"/>
              <w:rPr>
                <w:rFonts w:ascii="宋体" w:hAnsi="宋体" w:cs="宋体"/>
                <w:kern w:val="0"/>
                <w:sz w:val="18"/>
                <w:szCs w:val="18"/>
              </w:rPr>
            </w:pPr>
          </w:p>
        </w:tc>
      </w:tr>
      <w:tr w14:paraId="09D46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0B4A6C95">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6638B4E9">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31FD03B7">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66095C41">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103B47D8">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68A58CAF">
            <w:pPr>
              <w:jc w:val="center"/>
              <w:rPr>
                <w:rFonts w:ascii="Times New Roman" w:hAnsi="Times New Roman" w:cs="Times New Roman"/>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445E77D1">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50A1C08">
            <w:pPr>
              <w:jc w:val="left"/>
              <w:rPr>
                <w:rFonts w:ascii="宋体" w:hAnsi="宋体" w:cs="宋体"/>
                <w:kern w:val="0"/>
                <w:sz w:val="18"/>
                <w:szCs w:val="18"/>
              </w:rPr>
            </w:pPr>
            <w:r>
              <w:rPr>
                <w:rFonts w:hint="eastAsia" w:ascii="宋体" w:hAnsi="宋体" w:cs="宋体"/>
                <w:kern w:val="0"/>
                <w:sz w:val="18"/>
                <w:szCs w:val="18"/>
              </w:rPr>
              <w:t>规格型号</w:t>
            </w:r>
          </w:p>
        </w:tc>
        <w:tc>
          <w:tcPr>
            <w:tcW w:w="1559" w:type="dxa"/>
            <w:tcBorders>
              <w:top w:val="nil"/>
              <w:left w:val="nil"/>
              <w:bottom w:val="single" w:color="auto" w:sz="4" w:space="0"/>
              <w:right w:val="single" w:color="auto" w:sz="4" w:space="0"/>
            </w:tcBorders>
            <w:shd w:val="clear" w:color="auto" w:fill="auto"/>
            <w:vAlign w:val="center"/>
          </w:tcPr>
          <w:p w14:paraId="78AE6698">
            <w:pPr>
              <w:jc w:val="center"/>
              <w:rPr>
                <w:rFonts w:ascii="宋体" w:hAnsi="宋体" w:cs="宋体"/>
                <w:kern w:val="0"/>
                <w:sz w:val="18"/>
                <w:szCs w:val="18"/>
              </w:rPr>
            </w:pPr>
          </w:p>
        </w:tc>
      </w:tr>
      <w:tr w14:paraId="7FC4C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23B47347">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2B593BC1">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40783652">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58174B38">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119D7E92">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51FDB16F">
            <w:pPr>
              <w:jc w:val="center"/>
              <w:rPr>
                <w:rFonts w:ascii="Times New Roman" w:hAnsi="Times New Roman" w:cs="Times New Roman"/>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44585FF3">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0D9E4812">
            <w:pPr>
              <w:jc w:val="left"/>
              <w:rPr>
                <w:rFonts w:ascii="宋体" w:hAnsi="宋体" w:cs="宋体"/>
                <w:kern w:val="0"/>
                <w:sz w:val="18"/>
                <w:szCs w:val="18"/>
              </w:rPr>
            </w:pPr>
            <w:r>
              <w:rPr>
                <w:rFonts w:hint="eastAsia" w:ascii="宋体" w:hAnsi="宋体" w:cs="宋体"/>
                <w:kern w:val="0"/>
                <w:sz w:val="18"/>
                <w:szCs w:val="18"/>
              </w:rPr>
              <w:t>出厂编号</w:t>
            </w:r>
          </w:p>
        </w:tc>
        <w:tc>
          <w:tcPr>
            <w:tcW w:w="1559" w:type="dxa"/>
            <w:tcBorders>
              <w:top w:val="nil"/>
              <w:left w:val="nil"/>
              <w:bottom w:val="single" w:color="auto" w:sz="4" w:space="0"/>
              <w:right w:val="single" w:color="auto" w:sz="4" w:space="0"/>
            </w:tcBorders>
            <w:shd w:val="clear" w:color="auto" w:fill="auto"/>
            <w:vAlign w:val="center"/>
          </w:tcPr>
          <w:p w14:paraId="7F57E26D">
            <w:pPr>
              <w:jc w:val="center"/>
              <w:rPr>
                <w:rFonts w:ascii="宋体" w:hAnsi="宋体" w:cs="宋体"/>
                <w:kern w:val="0"/>
                <w:sz w:val="18"/>
                <w:szCs w:val="18"/>
              </w:rPr>
            </w:pPr>
          </w:p>
        </w:tc>
      </w:tr>
      <w:tr w14:paraId="1E86B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0A5ACE2B">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220ECE45">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4AE7E0E0">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3D2C2414">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00B7D843">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441240F4">
            <w:pPr>
              <w:jc w:val="center"/>
              <w:rPr>
                <w:rFonts w:ascii="Times New Roman" w:hAnsi="Times New Roman" w:cs="Times New Roman"/>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35E889CE">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2D98A915">
            <w:pPr>
              <w:jc w:val="left"/>
              <w:rPr>
                <w:rFonts w:ascii="宋体" w:hAnsi="宋体" w:cs="宋体"/>
                <w:kern w:val="0"/>
                <w:sz w:val="18"/>
                <w:szCs w:val="18"/>
              </w:rPr>
            </w:pPr>
            <w:r>
              <w:rPr>
                <w:rFonts w:hint="eastAsia" w:ascii="宋体" w:hAnsi="宋体" w:cs="宋体"/>
                <w:kern w:val="0"/>
                <w:sz w:val="18"/>
                <w:szCs w:val="18"/>
              </w:rPr>
              <w:t>制造厂</w:t>
            </w:r>
          </w:p>
        </w:tc>
        <w:tc>
          <w:tcPr>
            <w:tcW w:w="1559" w:type="dxa"/>
            <w:tcBorders>
              <w:top w:val="nil"/>
              <w:left w:val="nil"/>
              <w:bottom w:val="single" w:color="auto" w:sz="4" w:space="0"/>
              <w:right w:val="single" w:color="auto" w:sz="4" w:space="0"/>
            </w:tcBorders>
            <w:shd w:val="clear" w:color="auto" w:fill="auto"/>
            <w:vAlign w:val="center"/>
          </w:tcPr>
          <w:p w14:paraId="38D1220D">
            <w:pPr>
              <w:jc w:val="center"/>
              <w:rPr>
                <w:rFonts w:ascii="宋体" w:hAnsi="宋体" w:cs="宋体"/>
                <w:kern w:val="0"/>
                <w:sz w:val="18"/>
                <w:szCs w:val="18"/>
              </w:rPr>
            </w:pPr>
          </w:p>
        </w:tc>
      </w:tr>
      <w:tr w14:paraId="4D908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72D05FA4">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39EFF939">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3848F37">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687382FE">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653C4E91">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70F35AA1">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2624F8D8">
            <w:pPr>
              <w:jc w:val="left"/>
              <w:rPr>
                <w:rFonts w:ascii="宋体" w:hAnsi="宋体" w:cs="宋体"/>
                <w:kern w:val="0"/>
                <w:sz w:val="18"/>
                <w:szCs w:val="18"/>
              </w:rPr>
            </w:pPr>
            <w:r>
              <w:rPr>
                <w:rFonts w:hint="eastAsia" w:ascii="宋体" w:hAnsi="宋体" w:cs="宋体"/>
                <w:kern w:val="0"/>
                <w:sz w:val="18"/>
                <w:szCs w:val="18"/>
              </w:rPr>
              <w:t>相对分辨力(%)</w:t>
            </w:r>
          </w:p>
        </w:tc>
        <w:tc>
          <w:tcPr>
            <w:tcW w:w="1559" w:type="dxa"/>
            <w:tcBorders>
              <w:top w:val="nil"/>
              <w:left w:val="nil"/>
              <w:bottom w:val="single" w:color="auto" w:sz="4" w:space="0"/>
              <w:right w:val="single" w:color="auto" w:sz="4" w:space="0"/>
            </w:tcBorders>
            <w:shd w:val="clear" w:color="auto" w:fill="auto"/>
            <w:vAlign w:val="center"/>
          </w:tcPr>
          <w:p w14:paraId="6D7E035F">
            <w:pPr>
              <w:jc w:val="center"/>
              <w:rPr>
                <w:rFonts w:ascii="宋体" w:hAnsi="宋体" w:cs="宋体"/>
                <w:kern w:val="0"/>
                <w:sz w:val="18"/>
                <w:szCs w:val="18"/>
              </w:rPr>
            </w:pPr>
          </w:p>
        </w:tc>
      </w:tr>
      <w:tr w14:paraId="3B5A2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54125B59">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7AE32E2F">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73CE6309">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07341073">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6B079075">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76642812">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05BE1D93">
            <w:pPr>
              <w:jc w:val="left"/>
              <w:rPr>
                <w:rFonts w:ascii="宋体" w:hAnsi="宋体" w:cs="宋体"/>
                <w:kern w:val="0"/>
                <w:sz w:val="18"/>
                <w:szCs w:val="18"/>
              </w:rPr>
            </w:pPr>
            <w:r>
              <w:rPr>
                <w:rFonts w:hint="eastAsia" w:ascii="宋体" w:hAnsi="宋体" w:cs="宋体"/>
                <w:kern w:val="0"/>
                <w:sz w:val="18"/>
                <w:szCs w:val="18"/>
              </w:rPr>
              <w:t>内泄漏(%FS)</w:t>
            </w:r>
          </w:p>
        </w:tc>
        <w:tc>
          <w:tcPr>
            <w:tcW w:w="1559" w:type="dxa"/>
            <w:tcBorders>
              <w:top w:val="nil"/>
              <w:left w:val="nil"/>
              <w:bottom w:val="single" w:color="auto" w:sz="4" w:space="0"/>
              <w:right w:val="single" w:color="auto" w:sz="4" w:space="0"/>
            </w:tcBorders>
            <w:shd w:val="clear" w:color="auto" w:fill="auto"/>
            <w:vAlign w:val="center"/>
          </w:tcPr>
          <w:p w14:paraId="41DDFAA1">
            <w:pPr>
              <w:jc w:val="center"/>
              <w:rPr>
                <w:rFonts w:ascii="宋体" w:hAnsi="宋体" w:cs="宋体"/>
                <w:kern w:val="0"/>
                <w:sz w:val="18"/>
                <w:szCs w:val="18"/>
              </w:rPr>
            </w:pPr>
          </w:p>
        </w:tc>
      </w:tr>
      <w:tr w14:paraId="2BAE3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2DF26629">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5E3C78B9">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4DBC5437">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35A8EFA7">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01A12A2A">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0FF0F562">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0B882913">
            <w:pPr>
              <w:jc w:val="left"/>
              <w:rPr>
                <w:rFonts w:ascii="宋体" w:hAnsi="宋体" w:cs="宋体"/>
                <w:kern w:val="0"/>
                <w:sz w:val="18"/>
                <w:szCs w:val="18"/>
              </w:rPr>
            </w:pPr>
            <w:r>
              <w:rPr>
                <w:rFonts w:hint="eastAsia" w:ascii="宋体" w:hAnsi="宋体" w:cs="宋体"/>
                <w:kern w:val="0"/>
                <w:sz w:val="18"/>
                <w:szCs w:val="18"/>
              </w:rPr>
              <w:t>零点漂移(%FS)</w:t>
            </w:r>
          </w:p>
        </w:tc>
        <w:tc>
          <w:tcPr>
            <w:tcW w:w="1559" w:type="dxa"/>
            <w:tcBorders>
              <w:top w:val="nil"/>
              <w:left w:val="nil"/>
              <w:bottom w:val="single" w:color="auto" w:sz="4" w:space="0"/>
              <w:right w:val="single" w:color="auto" w:sz="4" w:space="0"/>
            </w:tcBorders>
            <w:shd w:val="clear" w:color="auto" w:fill="auto"/>
            <w:vAlign w:val="center"/>
          </w:tcPr>
          <w:p w14:paraId="1E716CA7">
            <w:pPr>
              <w:jc w:val="center"/>
              <w:rPr>
                <w:rFonts w:ascii="宋体" w:hAnsi="宋体" w:cs="宋体"/>
                <w:kern w:val="0"/>
                <w:sz w:val="18"/>
                <w:szCs w:val="18"/>
              </w:rPr>
            </w:pPr>
          </w:p>
        </w:tc>
      </w:tr>
      <w:tr w14:paraId="428FB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5924809C">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0B20BE6A">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2A8325C5">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691B1AE9">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7FEDD638">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5582C481">
            <w:pPr>
              <w:jc w:val="center"/>
              <w:rPr>
                <w:rFonts w:ascii="Times New Roman" w:hAnsi="Times New Roman" w:cs="Times New Roman"/>
                <w:kern w:val="0"/>
                <w:sz w:val="18"/>
                <w:szCs w:val="18"/>
              </w:rPr>
            </w:pP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BE0DDC">
            <w:pPr>
              <w:jc w:val="left"/>
              <w:rPr>
                <w:rFonts w:ascii="宋体" w:hAnsi="宋体" w:cs="宋体"/>
                <w:kern w:val="0"/>
                <w:sz w:val="18"/>
                <w:szCs w:val="18"/>
              </w:rPr>
            </w:pPr>
            <w:r>
              <w:rPr>
                <w:rFonts w:hint="eastAsia" w:ascii="宋体" w:hAnsi="宋体" w:cs="宋体"/>
                <w:kern w:val="0"/>
                <w:sz w:val="18"/>
                <w:szCs w:val="18"/>
              </w:rPr>
              <w:t>行程</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6C8647A7">
            <w:pPr>
              <w:jc w:val="left"/>
              <w:rPr>
                <w:rFonts w:ascii="宋体" w:hAnsi="宋体" w:cs="宋体"/>
                <w:kern w:val="0"/>
                <w:sz w:val="18"/>
                <w:szCs w:val="18"/>
              </w:rPr>
            </w:pPr>
          </w:p>
        </w:tc>
      </w:tr>
      <w:tr w14:paraId="1BE3E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1A44306D">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1722ED48">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4D8C4247">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5280A7B5">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1BC44811">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2B8B7876">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vAlign w:val="center"/>
          </w:tcPr>
          <w:p w14:paraId="78B2F90D">
            <w:pPr>
              <w:jc w:val="left"/>
              <w:rPr>
                <w:rFonts w:ascii="宋体" w:hAnsi="宋体" w:cs="宋体"/>
                <w:kern w:val="0"/>
                <w:sz w:val="18"/>
                <w:szCs w:val="18"/>
              </w:rPr>
            </w:pPr>
            <w:r>
              <w:rPr>
                <w:rFonts w:hint="eastAsia" w:ascii="宋体" w:hAnsi="宋体" w:cs="宋体"/>
                <w:kern w:val="0"/>
                <w:sz w:val="18"/>
                <w:szCs w:val="18"/>
              </w:rPr>
              <w:t>下压板尺寸</w:t>
            </w:r>
          </w:p>
        </w:tc>
        <w:tc>
          <w:tcPr>
            <w:tcW w:w="1559" w:type="dxa"/>
            <w:tcBorders>
              <w:top w:val="single" w:color="auto" w:sz="4" w:space="0"/>
              <w:left w:val="nil"/>
              <w:bottom w:val="single" w:color="auto" w:sz="4" w:space="0"/>
              <w:right w:val="single" w:color="auto" w:sz="4" w:space="0"/>
            </w:tcBorders>
            <w:vAlign w:val="center"/>
          </w:tcPr>
          <w:p w14:paraId="09A91B4D">
            <w:pPr>
              <w:jc w:val="left"/>
              <w:rPr>
                <w:rFonts w:ascii="宋体" w:hAnsi="宋体" w:cs="宋体"/>
                <w:kern w:val="0"/>
                <w:sz w:val="18"/>
                <w:szCs w:val="18"/>
              </w:rPr>
            </w:pPr>
          </w:p>
        </w:tc>
      </w:tr>
      <w:tr w14:paraId="4977F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11099CD4">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5435E3AC">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5C2DB4A8">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35E06127">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610F16F9">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22B6399B">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vAlign w:val="center"/>
          </w:tcPr>
          <w:p w14:paraId="34264EA3">
            <w:pPr>
              <w:jc w:val="left"/>
              <w:rPr>
                <w:rFonts w:ascii="宋体" w:hAnsi="宋体" w:cs="宋体"/>
                <w:kern w:val="0"/>
                <w:sz w:val="18"/>
                <w:szCs w:val="18"/>
              </w:rPr>
            </w:pPr>
          </w:p>
        </w:tc>
        <w:tc>
          <w:tcPr>
            <w:tcW w:w="1559" w:type="dxa"/>
            <w:tcBorders>
              <w:top w:val="single" w:color="auto" w:sz="4" w:space="0"/>
              <w:left w:val="nil"/>
              <w:bottom w:val="single" w:color="auto" w:sz="4" w:space="0"/>
              <w:right w:val="single" w:color="auto" w:sz="4" w:space="0"/>
            </w:tcBorders>
            <w:vAlign w:val="center"/>
          </w:tcPr>
          <w:p w14:paraId="0B574CD5">
            <w:pPr>
              <w:jc w:val="left"/>
              <w:rPr>
                <w:rFonts w:ascii="宋体" w:hAnsi="宋体" w:cs="宋体"/>
                <w:kern w:val="0"/>
                <w:sz w:val="18"/>
                <w:szCs w:val="18"/>
              </w:rPr>
            </w:pPr>
          </w:p>
        </w:tc>
      </w:tr>
      <w:tr w14:paraId="13843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8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387E31">
            <w:pPr>
              <w:jc w:val="center"/>
              <w:rPr>
                <w:rFonts w:ascii="宋体" w:hAnsi="宋体" w:cs="宋体"/>
                <w:kern w:val="0"/>
                <w:sz w:val="18"/>
                <w:szCs w:val="18"/>
              </w:rPr>
            </w:pPr>
            <w:r>
              <w:rPr>
                <w:rFonts w:hint="eastAsia" w:ascii="宋体" w:hAnsi="宋体" w:cs="宋体"/>
                <w:kern w:val="0"/>
                <w:sz w:val="18"/>
                <w:szCs w:val="18"/>
              </w:rPr>
              <w:t>校准方程</w:t>
            </w:r>
          </w:p>
        </w:tc>
        <w:tc>
          <w:tcPr>
            <w:tcW w:w="722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2E0ADFA">
            <w:pPr>
              <w:jc w:val="center"/>
              <w:rPr>
                <w:rFonts w:ascii="宋体" w:hAnsi="宋体" w:cs="宋体"/>
                <w:i/>
                <w:iCs/>
                <w:kern w:val="0"/>
                <w:sz w:val="18"/>
                <w:szCs w:val="18"/>
              </w:rPr>
            </w:pPr>
          </w:p>
        </w:tc>
      </w:tr>
    </w:tbl>
    <w:p w14:paraId="08647018">
      <w:pPr>
        <w:pStyle w:val="19"/>
      </w:pPr>
    </w:p>
    <w:p w14:paraId="1AFEA0A5">
      <w:pPr>
        <w:pStyle w:val="19"/>
        <w:ind w:firstLine="0" w:firstLineChars="0"/>
      </w:pPr>
      <w:r>
        <w:rPr>
          <w:rFonts w:hint="eastAsia"/>
        </w:rPr>
        <w:t>备注：</w:t>
      </w:r>
      <w:r>
        <w:t xml:space="preserve"> </w:t>
      </w:r>
    </w:p>
    <w:p w14:paraId="2A0F41BF">
      <w:pPr>
        <w:pStyle w:val="19"/>
      </w:pPr>
    </w:p>
    <w:p w14:paraId="11D773EF">
      <w:pPr>
        <w:pStyle w:val="19"/>
      </w:pPr>
    </w:p>
    <w:p w14:paraId="1F33C390">
      <w:pPr>
        <w:pStyle w:val="19"/>
      </w:pPr>
    </w:p>
    <w:p w14:paraId="201F6330">
      <w:pPr>
        <w:pStyle w:val="19"/>
      </w:pPr>
    </w:p>
    <w:p w14:paraId="60206261">
      <w:pPr>
        <w:pStyle w:val="19"/>
      </w:pPr>
    </w:p>
    <w:p w14:paraId="7597A926">
      <w:pPr>
        <w:pStyle w:val="19"/>
      </w:pPr>
    </w:p>
    <w:p w14:paraId="55AE7FC3">
      <w:pPr>
        <w:pStyle w:val="19"/>
      </w:pPr>
    </w:p>
    <w:p w14:paraId="68D94C34">
      <w:pPr>
        <w:pStyle w:val="19"/>
      </w:pPr>
    </w:p>
    <w:p w14:paraId="3EB025DC">
      <w:pPr>
        <w:pStyle w:val="19"/>
      </w:pPr>
    </w:p>
    <w:p w14:paraId="35B87E98">
      <w:pPr>
        <w:pStyle w:val="19"/>
      </w:pPr>
    </w:p>
    <w:p w14:paraId="394AE29C">
      <w:pPr>
        <w:pStyle w:val="19"/>
      </w:pPr>
    </w:p>
    <w:p w14:paraId="03249354">
      <w:pPr>
        <w:pStyle w:val="19"/>
      </w:pPr>
    </w:p>
    <w:p w14:paraId="0D56DD33">
      <w:pPr>
        <w:pStyle w:val="19"/>
      </w:pPr>
    </w:p>
    <w:p w14:paraId="342AD8C1">
      <w:pPr>
        <w:pStyle w:val="19"/>
      </w:pPr>
    </w:p>
    <w:p w14:paraId="323947D0">
      <w:pPr>
        <w:pStyle w:val="19"/>
      </w:pPr>
    </w:p>
    <w:p w14:paraId="104A091A">
      <w:pPr>
        <w:pStyle w:val="19"/>
        <w:ind w:firstLine="0" w:firstLineChars="0"/>
      </w:pPr>
    </w:p>
    <w:p w14:paraId="4448DBE8">
      <w:pPr>
        <w:pStyle w:val="19"/>
        <w:ind w:firstLine="0" w:firstLineChars="0"/>
      </w:pPr>
    </w:p>
    <w:p w14:paraId="5A8A9C88">
      <w:pPr>
        <w:pStyle w:val="19"/>
        <w:ind w:firstLine="0" w:firstLineChars="0"/>
      </w:pPr>
    </w:p>
    <w:p w14:paraId="7F94051C">
      <w:pPr>
        <w:pStyle w:val="19"/>
        <w:ind w:firstLine="0" w:firstLineChars="0"/>
      </w:pPr>
    </w:p>
    <w:p w14:paraId="0CF81476">
      <w:pPr>
        <w:pStyle w:val="93"/>
        <w:jc w:val="left"/>
      </w:pPr>
    </w:p>
    <w:p w14:paraId="36BB381C">
      <w:pPr>
        <w:pStyle w:val="19"/>
        <w:ind w:firstLine="560"/>
        <w:jc w:val="center"/>
        <w:rPr>
          <w:rFonts w:ascii="黑体" w:hAnsi="黑体" w:eastAsia="黑体"/>
          <w:sz w:val="28"/>
          <w:szCs w:val="28"/>
        </w:rPr>
      </w:pPr>
      <w:r>
        <w:rPr>
          <w:rFonts w:hint="eastAsia" w:ascii="黑体" w:hAnsi="黑体" w:eastAsia="黑体"/>
          <w:sz w:val="28"/>
          <w:szCs w:val="28"/>
        </w:rPr>
        <w:t>校准记录格式</w:t>
      </w:r>
    </w:p>
    <w:tbl>
      <w:tblPr>
        <w:tblStyle w:val="25"/>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709"/>
        <w:gridCol w:w="992"/>
        <w:gridCol w:w="1177"/>
        <w:gridCol w:w="666"/>
        <w:gridCol w:w="992"/>
        <w:gridCol w:w="567"/>
        <w:gridCol w:w="1276"/>
        <w:gridCol w:w="1559"/>
      </w:tblGrid>
      <w:tr w14:paraId="232DD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139" w:type="dxa"/>
          </w:tcPr>
          <w:p w14:paraId="17DDCEF6">
            <w:pPr>
              <w:pStyle w:val="19"/>
              <w:ind w:firstLine="0" w:firstLineChars="0"/>
              <w:jc w:val="center"/>
              <w:rPr>
                <w:rFonts w:hAnsi="宋体"/>
                <w:sz w:val="18"/>
                <w:szCs w:val="18"/>
              </w:rPr>
            </w:pPr>
            <w:r>
              <w:rPr>
                <w:rFonts w:hint="eastAsia" w:hAnsi="宋体"/>
                <w:sz w:val="18"/>
                <w:szCs w:val="18"/>
              </w:rPr>
              <w:t>外观检查</w:t>
            </w:r>
          </w:p>
        </w:tc>
        <w:tc>
          <w:tcPr>
            <w:tcW w:w="3544" w:type="dxa"/>
            <w:gridSpan w:val="4"/>
          </w:tcPr>
          <w:p w14:paraId="7F550EB2">
            <w:pPr>
              <w:pStyle w:val="19"/>
              <w:ind w:firstLine="360"/>
              <w:jc w:val="center"/>
              <w:rPr>
                <w:rFonts w:hAnsi="宋体"/>
                <w:sz w:val="18"/>
                <w:szCs w:val="18"/>
              </w:rPr>
            </w:pPr>
          </w:p>
        </w:tc>
        <w:tc>
          <w:tcPr>
            <w:tcW w:w="1559" w:type="dxa"/>
            <w:gridSpan w:val="2"/>
          </w:tcPr>
          <w:p w14:paraId="7B871C17">
            <w:pPr>
              <w:pStyle w:val="19"/>
              <w:ind w:firstLine="0" w:firstLineChars="0"/>
              <w:jc w:val="center"/>
              <w:rPr>
                <w:rFonts w:hAnsi="宋体"/>
                <w:sz w:val="18"/>
                <w:szCs w:val="18"/>
              </w:rPr>
            </w:pPr>
            <w:r>
              <w:rPr>
                <w:rFonts w:hint="eastAsia" w:hAnsi="宋体"/>
                <w:sz w:val="18"/>
                <w:szCs w:val="18"/>
              </w:rPr>
              <w:t>操作适应性</w:t>
            </w:r>
          </w:p>
        </w:tc>
        <w:tc>
          <w:tcPr>
            <w:tcW w:w="2835" w:type="dxa"/>
            <w:gridSpan w:val="2"/>
          </w:tcPr>
          <w:p w14:paraId="479C82AE">
            <w:pPr>
              <w:pStyle w:val="19"/>
              <w:ind w:firstLine="360"/>
              <w:jc w:val="center"/>
              <w:rPr>
                <w:rFonts w:hAnsi="宋体"/>
                <w:sz w:val="18"/>
                <w:szCs w:val="18"/>
              </w:rPr>
            </w:pPr>
          </w:p>
        </w:tc>
      </w:tr>
      <w:tr w14:paraId="769A9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vMerge w:val="restart"/>
            <w:tcBorders>
              <w:top w:val="single" w:color="auto" w:sz="4" w:space="0"/>
              <w:left w:val="single" w:color="auto" w:sz="4" w:space="0"/>
              <w:right w:val="single" w:color="auto" w:sz="4" w:space="0"/>
            </w:tcBorders>
            <w:shd w:val="clear" w:color="auto" w:fill="auto"/>
            <w:vAlign w:val="center"/>
          </w:tcPr>
          <w:p w14:paraId="2DD29848">
            <w:pPr>
              <w:jc w:val="center"/>
              <w:rPr>
                <w:rFonts w:ascii="宋体" w:hAnsi="宋体" w:cs="宋体"/>
                <w:kern w:val="0"/>
                <w:sz w:val="18"/>
                <w:szCs w:val="18"/>
              </w:rPr>
            </w:pPr>
            <w:r>
              <w:rPr>
                <w:rFonts w:hint="eastAsia" w:ascii="宋体" w:hAnsi="宋体" w:cs="宋体"/>
                <w:kern w:val="0"/>
                <w:sz w:val="18"/>
                <w:szCs w:val="18"/>
              </w:rPr>
              <w:t>指示器示值</w:t>
            </w:r>
          </w:p>
          <w:p w14:paraId="53AF77CE">
            <w:pPr>
              <w:jc w:val="center"/>
              <w:rPr>
                <w:rFonts w:ascii="宋体" w:hAnsi="宋体" w:cs="宋体"/>
                <w:kern w:val="0"/>
                <w:sz w:val="18"/>
                <w:szCs w:val="18"/>
              </w:rPr>
            </w:pPr>
            <w:r>
              <w:rPr>
                <w:rFonts w:hint="eastAsia" w:ascii="宋体" w:hAnsi="宋体" w:cs="宋体"/>
                <w:kern w:val="0"/>
                <w:sz w:val="18"/>
                <w:szCs w:val="18"/>
              </w:rPr>
              <w:t>（）</w:t>
            </w:r>
          </w:p>
        </w:tc>
        <w:tc>
          <w:tcPr>
            <w:tcW w:w="709" w:type="dxa"/>
            <w:vMerge w:val="restart"/>
            <w:tcBorders>
              <w:top w:val="single" w:color="auto" w:sz="4" w:space="0"/>
              <w:left w:val="nil"/>
              <w:right w:val="single" w:color="auto" w:sz="4" w:space="0"/>
            </w:tcBorders>
            <w:shd w:val="clear" w:color="auto" w:fill="auto"/>
            <w:vAlign w:val="center"/>
          </w:tcPr>
          <w:p w14:paraId="0BE4A371">
            <w:pPr>
              <w:jc w:val="center"/>
              <w:rPr>
                <w:rFonts w:ascii="宋体" w:hAnsi="宋体" w:cs="宋体"/>
                <w:kern w:val="0"/>
                <w:sz w:val="18"/>
                <w:szCs w:val="18"/>
              </w:rPr>
            </w:pPr>
            <w:r>
              <w:rPr>
                <w:rFonts w:hint="eastAsia" w:ascii="宋体" w:hAnsi="宋体" w:cs="宋体"/>
                <w:kern w:val="0"/>
                <w:sz w:val="18"/>
                <w:szCs w:val="18"/>
              </w:rPr>
              <w:t>负荷</w:t>
            </w:r>
          </w:p>
          <w:p w14:paraId="3C9700BA">
            <w:pPr>
              <w:jc w:val="center"/>
              <w:rPr>
                <w:rFonts w:ascii="宋体" w:hAnsi="宋体" w:cs="宋体"/>
                <w:kern w:val="0"/>
                <w:sz w:val="18"/>
                <w:szCs w:val="18"/>
              </w:rPr>
            </w:pPr>
            <w:r>
              <w:rPr>
                <w:rFonts w:hint="eastAsia" w:ascii="宋体" w:hAnsi="宋体" w:cs="宋体"/>
                <w:kern w:val="0"/>
                <w:sz w:val="18"/>
                <w:szCs w:val="18"/>
              </w:rPr>
              <w:t>（）</w:t>
            </w:r>
          </w:p>
        </w:tc>
        <w:tc>
          <w:tcPr>
            <w:tcW w:w="992" w:type="dxa"/>
            <w:vMerge w:val="restart"/>
            <w:tcBorders>
              <w:top w:val="single" w:color="auto" w:sz="4" w:space="0"/>
              <w:left w:val="nil"/>
              <w:right w:val="single" w:color="auto" w:sz="4" w:space="0"/>
            </w:tcBorders>
            <w:shd w:val="clear" w:color="auto" w:fill="auto"/>
            <w:vAlign w:val="center"/>
          </w:tcPr>
          <w:p w14:paraId="0C1BAC4D">
            <w:pPr>
              <w:jc w:val="center"/>
              <w:rPr>
                <w:rFonts w:ascii="宋体" w:hAnsi="宋体" w:cs="宋体"/>
                <w:kern w:val="0"/>
                <w:sz w:val="18"/>
                <w:szCs w:val="18"/>
              </w:rPr>
            </w:pPr>
            <w:r>
              <w:rPr>
                <w:rFonts w:hint="eastAsia" w:ascii="宋体" w:hAnsi="宋体" w:cs="宋体"/>
                <w:kern w:val="0"/>
                <w:sz w:val="18"/>
                <w:szCs w:val="18"/>
              </w:rPr>
              <w:t>示值误差</w:t>
            </w:r>
          </w:p>
          <w:p w14:paraId="497332AE">
            <w:pPr>
              <w:jc w:val="center"/>
              <w:rPr>
                <w:rFonts w:ascii="宋体" w:hAnsi="宋体" w:cs="宋体"/>
                <w:kern w:val="0"/>
                <w:sz w:val="18"/>
                <w:szCs w:val="18"/>
              </w:rPr>
            </w:pPr>
            <w:r>
              <w:rPr>
                <w:rFonts w:hint="eastAsia" w:ascii="宋体" w:hAnsi="宋体" w:cs="宋体"/>
                <w:kern w:val="0"/>
                <w:sz w:val="18"/>
                <w:szCs w:val="18"/>
              </w:rPr>
              <w:t>（</w:t>
            </w:r>
            <w:r>
              <w:rPr>
                <w:rFonts w:ascii="Times New Roman" w:hAnsi="Times New Roman" w:cs="Times New Roman"/>
                <w:kern w:val="0"/>
                <w:sz w:val="18"/>
                <w:szCs w:val="18"/>
              </w:rPr>
              <w:t>%</w:t>
            </w:r>
            <w:r>
              <w:rPr>
                <w:rFonts w:hint="eastAsia" w:ascii="宋体" w:hAnsi="宋体" w:cs="宋体"/>
                <w:kern w:val="0"/>
                <w:sz w:val="18"/>
                <w:szCs w:val="18"/>
              </w:rPr>
              <w:t>）</w:t>
            </w:r>
          </w:p>
        </w:tc>
        <w:tc>
          <w:tcPr>
            <w:tcW w:w="1177" w:type="dxa"/>
            <w:vMerge w:val="restart"/>
            <w:tcBorders>
              <w:top w:val="single" w:color="auto" w:sz="4" w:space="0"/>
              <w:left w:val="nil"/>
              <w:right w:val="single" w:color="auto" w:sz="4" w:space="0"/>
            </w:tcBorders>
            <w:shd w:val="clear" w:color="auto" w:fill="auto"/>
            <w:vAlign w:val="center"/>
          </w:tcPr>
          <w:p w14:paraId="362F4925">
            <w:pPr>
              <w:jc w:val="center"/>
              <w:rPr>
                <w:rFonts w:ascii="宋体" w:hAnsi="宋体" w:cs="宋体"/>
                <w:kern w:val="0"/>
                <w:sz w:val="18"/>
                <w:szCs w:val="18"/>
              </w:rPr>
            </w:pPr>
            <w:r>
              <w:rPr>
                <w:rFonts w:hint="eastAsia" w:ascii="宋体" w:hAnsi="宋体" w:cs="宋体"/>
                <w:kern w:val="0"/>
                <w:sz w:val="18"/>
                <w:szCs w:val="18"/>
              </w:rPr>
              <w:t>示值重复性</w:t>
            </w:r>
          </w:p>
          <w:p w14:paraId="7FE42F23">
            <w:pPr>
              <w:jc w:val="center"/>
              <w:rPr>
                <w:rFonts w:ascii="宋体" w:hAnsi="宋体" w:cs="宋体"/>
                <w:kern w:val="0"/>
                <w:sz w:val="18"/>
                <w:szCs w:val="18"/>
              </w:rPr>
            </w:pPr>
            <w:r>
              <w:rPr>
                <w:rFonts w:hint="eastAsia" w:ascii="宋体" w:hAnsi="宋体" w:cs="宋体"/>
                <w:kern w:val="0"/>
                <w:sz w:val="18"/>
                <w:szCs w:val="18"/>
              </w:rPr>
              <w:t>（</w:t>
            </w:r>
            <w:r>
              <w:rPr>
                <w:rFonts w:ascii="Times New Roman" w:hAnsi="Times New Roman" w:cs="Times New Roman"/>
                <w:kern w:val="0"/>
                <w:sz w:val="18"/>
                <w:szCs w:val="18"/>
              </w:rPr>
              <w:t>%</w:t>
            </w:r>
            <w:r>
              <w:rPr>
                <w:rFonts w:hint="eastAsia" w:ascii="宋体" w:hAnsi="宋体" w:cs="宋体"/>
                <w:kern w:val="0"/>
                <w:sz w:val="18"/>
                <w:szCs w:val="18"/>
              </w:rPr>
              <w:t>）</w:t>
            </w:r>
          </w:p>
        </w:tc>
        <w:tc>
          <w:tcPr>
            <w:tcW w:w="666" w:type="dxa"/>
            <w:vMerge w:val="restart"/>
            <w:tcBorders>
              <w:top w:val="single" w:color="auto" w:sz="4" w:space="0"/>
              <w:left w:val="nil"/>
              <w:right w:val="single" w:color="auto" w:sz="4" w:space="0"/>
            </w:tcBorders>
            <w:shd w:val="clear" w:color="auto" w:fill="auto"/>
            <w:vAlign w:val="center"/>
          </w:tcPr>
          <w:p w14:paraId="7EF428D4">
            <w:pPr>
              <w:rPr>
                <w:rFonts w:asciiTheme="minorEastAsia" w:hAnsiTheme="minorEastAsia" w:eastAsiaTheme="minorEastAsia"/>
                <w:i/>
                <w:sz w:val="18"/>
                <w:szCs w:val="18"/>
                <w:vertAlign w:val="subscript"/>
              </w:rPr>
            </w:pPr>
            <w:r>
              <w:rPr>
                <w:rFonts w:hint="eastAsia" w:asciiTheme="minorEastAsia" w:hAnsiTheme="minorEastAsia" w:eastAsiaTheme="minorEastAsia"/>
                <w:i/>
                <w:sz w:val="18"/>
                <w:szCs w:val="18"/>
              </w:rPr>
              <w:t>U</w:t>
            </w:r>
            <w:r>
              <w:rPr>
                <w:rFonts w:hint="eastAsia" w:asciiTheme="minorEastAsia" w:hAnsiTheme="minorEastAsia" w:eastAsiaTheme="minorEastAsia"/>
                <w:sz w:val="18"/>
                <w:szCs w:val="18"/>
                <w:vertAlign w:val="subscript"/>
              </w:rPr>
              <w:t>rel</w:t>
            </w:r>
          </w:p>
          <w:p w14:paraId="39CB4F91">
            <w:pPr>
              <w:rPr>
                <w:rFonts w:ascii="宋体" w:hAnsi="宋体" w:cs="宋体"/>
                <w:kern w:val="0"/>
                <w:sz w:val="18"/>
                <w:szCs w:val="18"/>
              </w:rPr>
            </w:pPr>
            <w:r>
              <w:rPr>
                <w:rFonts w:hint="eastAsia" w:asciiTheme="minorEastAsia" w:hAnsiTheme="minorEastAsia" w:eastAsiaTheme="minorEastAsia"/>
                <w:i/>
                <w:sz w:val="18"/>
                <w:szCs w:val="18"/>
              </w:rPr>
              <w:t>k</w:t>
            </w:r>
            <w:r>
              <w:rPr>
                <w:rFonts w:hint="eastAsia" w:asciiTheme="minorEastAsia" w:hAnsiTheme="minorEastAsia" w:eastAsiaTheme="minorEastAsia"/>
                <w:sz w:val="18"/>
                <w:szCs w:val="18"/>
              </w:rPr>
              <w:t>=2</w:t>
            </w:r>
          </w:p>
        </w:tc>
        <w:tc>
          <w:tcPr>
            <w:tcW w:w="992" w:type="dxa"/>
            <w:vMerge w:val="restart"/>
            <w:tcBorders>
              <w:top w:val="single" w:color="auto" w:sz="4" w:space="0"/>
              <w:left w:val="nil"/>
              <w:right w:val="single" w:color="auto" w:sz="4" w:space="0"/>
            </w:tcBorders>
            <w:shd w:val="clear" w:color="auto" w:fill="auto"/>
            <w:vAlign w:val="center"/>
          </w:tcPr>
          <w:p w14:paraId="42C841CF">
            <w:pPr>
              <w:jc w:val="center"/>
              <w:rPr>
                <w:rFonts w:ascii="宋体" w:hAnsi="宋体" w:cs="宋体"/>
                <w:kern w:val="0"/>
                <w:sz w:val="18"/>
                <w:szCs w:val="18"/>
              </w:rPr>
            </w:pPr>
            <w:r>
              <w:rPr>
                <w:rFonts w:hint="eastAsia" w:ascii="宋体" w:hAnsi="宋体" w:cs="宋体"/>
                <w:kern w:val="0"/>
                <w:sz w:val="18"/>
                <w:szCs w:val="18"/>
              </w:rPr>
              <w:t>内插误差</w:t>
            </w:r>
          </w:p>
          <w:p w14:paraId="03EE29EB">
            <w:pPr>
              <w:jc w:val="center"/>
              <w:rPr>
                <w:rFonts w:ascii="宋体" w:hAnsi="宋体" w:cs="宋体"/>
                <w:kern w:val="0"/>
                <w:sz w:val="18"/>
                <w:szCs w:val="18"/>
              </w:rPr>
            </w:pPr>
            <w:r>
              <w:rPr>
                <w:rFonts w:hint="eastAsia" w:ascii="宋体" w:hAnsi="宋体" w:cs="宋体"/>
                <w:kern w:val="0"/>
                <w:sz w:val="18"/>
                <w:szCs w:val="18"/>
              </w:rPr>
              <w:t>（</w:t>
            </w:r>
            <w:r>
              <w:rPr>
                <w:rFonts w:ascii="Times New Roman" w:hAnsi="Times New Roman" w:cs="Times New Roman"/>
                <w:kern w:val="0"/>
                <w:sz w:val="18"/>
                <w:szCs w:val="18"/>
              </w:rPr>
              <w:t>%</w:t>
            </w:r>
            <w:r>
              <w:rPr>
                <w:rFonts w:hint="eastAsia" w:ascii="宋体" w:hAnsi="宋体" w:cs="宋体"/>
                <w:kern w:val="0"/>
                <w:sz w:val="18"/>
                <w:szCs w:val="18"/>
              </w:rPr>
              <w:t>）</w:t>
            </w:r>
          </w:p>
        </w:tc>
        <w:tc>
          <w:tcPr>
            <w:tcW w:w="567" w:type="dxa"/>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14:paraId="02E458E0">
            <w:pPr>
              <w:jc w:val="center"/>
              <w:rPr>
                <w:rFonts w:ascii="宋体" w:hAnsi="宋体" w:cs="宋体"/>
                <w:kern w:val="0"/>
                <w:sz w:val="18"/>
                <w:szCs w:val="18"/>
              </w:rPr>
            </w:pPr>
            <w:r>
              <w:rPr>
                <w:rFonts w:hint="eastAsia" w:ascii="宋体" w:hAnsi="宋体" w:cs="宋体"/>
                <w:kern w:val="0"/>
                <w:sz w:val="18"/>
                <w:szCs w:val="18"/>
              </w:rPr>
              <w:t>指示器</w:t>
            </w:r>
          </w:p>
        </w:tc>
        <w:tc>
          <w:tcPr>
            <w:tcW w:w="1276" w:type="dxa"/>
            <w:tcBorders>
              <w:top w:val="single" w:color="auto" w:sz="4" w:space="0"/>
              <w:left w:val="nil"/>
              <w:bottom w:val="single" w:color="auto" w:sz="4" w:space="0"/>
              <w:right w:val="single" w:color="auto" w:sz="4" w:space="0"/>
            </w:tcBorders>
            <w:shd w:val="clear" w:color="auto" w:fill="auto"/>
            <w:vAlign w:val="center"/>
          </w:tcPr>
          <w:p w14:paraId="5A9DB52E">
            <w:pPr>
              <w:jc w:val="left"/>
              <w:rPr>
                <w:rFonts w:ascii="宋体" w:hAnsi="宋体" w:cs="宋体"/>
                <w:kern w:val="0"/>
                <w:sz w:val="18"/>
                <w:szCs w:val="18"/>
              </w:rPr>
            </w:pPr>
            <w:r>
              <w:rPr>
                <w:rFonts w:hint="eastAsia" w:ascii="宋体" w:hAnsi="宋体" w:cs="宋体"/>
                <w:kern w:val="0"/>
                <w:sz w:val="18"/>
                <w:szCs w:val="18"/>
              </w:rPr>
              <w:t>指示器名称</w:t>
            </w:r>
          </w:p>
        </w:tc>
        <w:tc>
          <w:tcPr>
            <w:tcW w:w="1559" w:type="dxa"/>
            <w:tcBorders>
              <w:top w:val="single" w:color="auto" w:sz="4" w:space="0"/>
              <w:left w:val="nil"/>
              <w:bottom w:val="single" w:color="auto" w:sz="4" w:space="0"/>
              <w:right w:val="single" w:color="auto" w:sz="4" w:space="0"/>
            </w:tcBorders>
            <w:shd w:val="clear" w:color="auto" w:fill="auto"/>
            <w:vAlign w:val="center"/>
          </w:tcPr>
          <w:p w14:paraId="5FFF8561">
            <w:pPr>
              <w:jc w:val="center"/>
              <w:rPr>
                <w:rFonts w:ascii="宋体" w:hAnsi="宋体" w:cs="宋体"/>
                <w:kern w:val="0"/>
                <w:sz w:val="18"/>
                <w:szCs w:val="18"/>
              </w:rPr>
            </w:pPr>
          </w:p>
        </w:tc>
      </w:tr>
      <w:tr w14:paraId="45CD6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vMerge w:val="continue"/>
            <w:tcBorders>
              <w:left w:val="single" w:color="auto" w:sz="4" w:space="0"/>
              <w:bottom w:val="single" w:color="auto" w:sz="4" w:space="0"/>
              <w:right w:val="single" w:color="auto" w:sz="4" w:space="0"/>
            </w:tcBorders>
            <w:shd w:val="clear" w:color="auto" w:fill="auto"/>
            <w:vAlign w:val="center"/>
          </w:tcPr>
          <w:p w14:paraId="509266C5">
            <w:pPr>
              <w:jc w:val="center"/>
              <w:rPr>
                <w:rFonts w:ascii="宋体" w:hAnsi="宋体" w:cs="宋体"/>
                <w:kern w:val="0"/>
                <w:sz w:val="18"/>
                <w:szCs w:val="18"/>
              </w:rPr>
            </w:pPr>
          </w:p>
        </w:tc>
        <w:tc>
          <w:tcPr>
            <w:tcW w:w="709" w:type="dxa"/>
            <w:vMerge w:val="continue"/>
            <w:tcBorders>
              <w:left w:val="nil"/>
              <w:bottom w:val="single" w:color="auto" w:sz="4" w:space="0"/>
              <w:right w:val="single" w:color="auto" w:sz="4" w:space="0"/>
            </w:tcBorders>
            <w:shd w:val="clear" w:color="auto" w:fill="auto"/>
            <w:vAlign w:val="center"/>
          </w:tcPr>
          <w:p w14:paraId="1059FD0D">
            <w:pPr>
              <w:jc w:val="center"/>
              <w:rPr>
                <w:rFonts w:ascii="宋体" w:hAnsi="宋体" w:cs="宋体"/>
                <w:kern w:val="0"/>
                <w:sz w:val="18"/>
                <w:szCs w:val="18"/>
              </w:rPr>
            </w:pPr>
          </w:p>
        </w:tc>
        <w:tc>
          <w:tcPr>
            <w:tcW w:w="992" w:type="dxa"/>
            <w:vMerge w:val="continue"/>
            <w:tcBorders>
              <w:left w:val="nil"/>
              <w:bottom w:val="single" w:color="auto" w:sz="4" w:space="0"/>
              <w:right w:val="single" w:color="auto" w:sz="4" w:space="0"/>
            </w:tcBorders>
            <w:shd w:val="clear" w:color="auto" w:fill="auto"/>
            <w:vAlign w:val="center"/>
          </w:tcPr>
          <w:p w14:paraId="27F325D2">
            <w:pPr>
              <w:jc w:val="center"/>
              <w:rPr>
                <w:rFonts w:ascii="宋体" w:hAnsi="宋体" w:cs="宋体"/>
                <w:kern w:val="0"/>
                <w:sz w:val="18"/>
                <w:szCs w:val="18"/>
              </w:rPr>
            </w:pPr>
          </w:p>
        </w:tc>
        <w:tc>
          <w:tcPr>
            <w:tcW w:w="1177" w:type="dxa"/>
            <w:vMerge w:val="continue"/>
            <w:tcBorders>
              <w:left w:val="nil"/>
              <w:bottom w:val="single" w:color="auto" w:sz="4" w:space="0"/>
              <w:right w:val="single" w:color="auto" w:sz="4" w:space="0"/>
            </w:tcBorders>
            <w:shd w:val="clear" w:color="auto" w:fill="auto"/>
            <w:vAlign w:val="center"/>
          </w:tcPr>
          <w:p w14:paraId="4587DA0E">
            <w:pPr>
              <w:jc w:val="center"/>
              <w:rPr>
                <w:rFonts w:ascii="宋体" w:hAnsi="宋体" w:cs="宋体"/>
                <w:kern w:val="0"/>
                <w:sz w:val="18"/>
                <w:szCs w:val="18"/>
              </w:rPr>
            </w:pPr>
          </w:p>
        </w:tc>
        <w:tc>
          <w:tcPr>
            <w:tcW w:w="666" w:type="dxa"/>
            <w:vMerge w:val="continue"/>
            <w:tcBorders>
              <w:left w:val="nil"/>
              <w:bottom w:val="single" w:color="auto" w:sz="4" w:space="0"/>
              <w:right w:val="single" w:color="auto" w:sz="4" w:space="0"/>
            </w:tcBorders>
            <w:shd w:val="clear" w:color="auto" w:fill="auto"/>
            <w:vAlign w:val="center"/>
          </w:tcPr>
          <w:p w14:paraId="14249140">
            <w:pPr>
              <w:jc w:val="center"/>
              <w:rPr>
                <w:rFonts w:ascii="宋体" w:hAnsi="宋体" w:cs="宋体"/>
                <w:kern w:val="0"/>
                <w:sz w:val="18"/>
                <w:szCs w:val="18"/>
              </w:rPr>
            </w:pPr>
          </w:p>
        </w:tc>
        <w:tc>
          <w:tcPr>
            <w:tcW w:w="992" w:type="dxa"/>
            <w:vMerge w:val="continue"/>
            <w:tcBorders>
              <w:left w:val="nil"/>
              <w:bottom w:val="single" w:color="auto" w:sz="4" w:space="0"/>
              <w:right w:val="single" w:color="auto" w:sz="4" w:space="0"/>
            </w:tcBorders>
            <w:shd w:val="clear" w:color="auto" w:fill="auto"/>
            <w:vAlign w:val="center"/>
          </w:tcPr>
          <w:p w14:paraId="46CB8086">
            <w:pPr>
              <w:jc w:val="center"/>
              <w:rPr>
                <w:rFonts w:ascii="宋体" w:hAnsi="宋体" w:cs="宋体"/>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3829A97A">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11F4714F">
            <w:pPr>
              <w:jc w:val="left"/>
              <w:rPr>
                <w:rFonts w:ascii="宋体" w:hAnsi="宋体" w:cs="宋体"/>
                <w:kern w:val="0"/>
                <w:sz w:val="18"/>
                <w:szCs w:val="18"/>
              </w:rPr>
            </w:pPr>
            <w:r>
              <w:rPr>
                <w:rFonts w:hint="eastAsia" w:ascii="宋体" w:hAnsi="宋体" w:cs="宋体"/>
                <w:kern w:val="0"/>
                <w:sz w:val="18"/>
                <w:szCs w:val="18"/>
              </w:rPr>
              <w:t>准确度等级</w:t>
            </w:r>
          </w:p>
        </w:tc>
        <w:tc>
          <w:tcPr>
            <w:tcW w:w="1559" w:type="dxa"/>
            <w:tcBorders>
              <w:top w:val="nil"/>
              <w:left w:val="nil"/>
              <w:bottom w:val="single" w:color="auto" w:sz="4" w:space="0"/>
              <w:right w:val="single" w:color="auto" w:sz="4" w:space="0"/>
            </w:tcBorders>
            <w:shd w:val="clear" w:color="auto" w:fill="auto"/>
            <w:vAlign w:val="center"/>
          </w:tcPr>
          <w:p w14:paraId="44179009">
            <w:pPr>
              <w:jc w:val="center"/>
              <w:rPr>
                <w:rFonts w:ascii="宋体" w:hAnsi="宋体" w:cs="宋体"/>
                <w:kern w:val="0"/>
                <w:sz w:val="18"/>
                <w:szCs w:val="18"/>
              </w:rPr>
            </w:pPr>
          </w:p>
        </w:tc>
      </w:tr>
      <w:tr w14:paraId="1DA8F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60F56CC8">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3E3A73D9">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40098692">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64EE7355">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74D9821A">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6069B28A">
            <w:pPr>
              <w:jc w:val="center"/>
              <w:rPr>
                <w:rFonts w:ascii="Times New Roman" w:hAnsi="Times New Roman" w:cs="Times New Roman"/>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751FD7F7">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3DFF0F3E">
            <w:pPr>
              <w:jc w:val="left"/>
              <w:rPr>
                <w:rFonts w:ascii="宋体" w:hAnsi="宋体" w:cs="宋体"/>
                <w:kern w:val="0"/>
                <w:sz w:val="18"/>
                <w:szCs w:val="18"/>
              </w:rPr>
            </w:pPr>
            <w:r>
              <w:rPr>
                <w:rFonts w:hint="eastAsia" w:ascii="宋体" w:hAnsi="宋体" w:cs="宋体"/>
                <w:kern w:val="0"/>
                <w:sz w:val="18"/>
                <w:szCs w:val="18"/>
              </w:rPr>
              <w:t>规格型号</w:t>
            </w:r>
          </w:p>
        </w:tc>
        <w:tc>
          <w:tcPr>
            <w:tcW w:w="1559" w:type="dxa"/>
            <w:tcBorders>
              <w:top w:val="nil"/>
              <w:left w:val="nil"/>
              <w:bottom w:val="single" w:color="auto" w:sz="4" w:space="0"/>
              <w:right w:val="single" w:color="auto" w:sz="4" w:space="0"/>
            </w:tcBorders>
            <w:shd w:val="clear" w:color="auto" w:fill="auto"/>
            <w:vAlign w:val="center"/>
          </w:tcPr>
          <w:p w14:paraId="3E2F25D6">
            <w:pPr>
              <w:jc w:val="center"/>
              <w:rPr>
                <w:rFonts w:ascii="宋体" w:hAnsi="宋体" w:cs="宋体"/>
                <w:kern w:val="0"/>
                <w:sz w:val="18"/>
                <w:szCs w:val="18"/>
              </w:rPr>
            </w:pPr>
          </w:p>
        </w:tc>
      </w:tr>
      <w:tr w14:paraId="69FB3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6387A48D">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13A78BDE">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065F2B08">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09F870A3">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2C75978D">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27D3EBEC">
            <w:pPr>
              <w:jc w:val="center"/>
              <w:rPr>
                <w:rFonts w:ascii="Times New Roman" w:hAnsi="Times New Roman" w:cs="Times New Roman"/>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79B1C4DF">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18EFBB84">
            <w:pPr>
              <w:jc w:val="left"/>
              <w:rPr>
                <w:rFonts w:ascii="宋体" w:hAnsi="宋体" w:cs="宋体"/>
                <w:kern w:val="0"/>
                <w:sz w:val="18"/>
                <w:szCs w:val="18"/>
              </w:rPr>
            </w:pPr>
            <w:r>
              <w:rPr>
                <w:rFonts w:hint="eastAsia" w:ascii="宋体" w:hAnsi="宋体" w:cs="宋体"/>
                <w:kern w:val="0"/>
                <w:sz w:val="18"/>
                <w:szCs w:val="18"/>
              </w:rPr>
              <w:t>出厂编号</w:t>
            </w:r>
          </w:p>
        </w:tc>
        <w:tc>
          <w:tcPr>
            <w:tcW w:w="1559" w:type="dxa"/>
            <w:tcBorders>
              <w:top w:val="nil"/>
              <w:left w:val="nil"/>
              <w:bottom w:val="single" w:color="auto" w:sz="4" w:space="0"/>
              <w:right w:val="single" w:color="auto" w:sz="4" w:space="0"/>
            </w:tcBorders>
            <w:shd w:val="clear" w:color="auto" w:fill="auto"/>
            <w:vAlign w:val="center"/>
          </w:tcPr>
          <w:p w14:paraId="55CAB00F">
            <w:pPr>
              <w:jc w:val="center"/>
              <w:rPr>
                <w:rFonts w:ascii="宋体" w:hAnsi="宋体" w:cs="宋体"/>
                <w:kern w:val="0"/>
                <w:sz w:val="18"/>
                <w:szCs w:val="18"/>
              </w:rPr>
            </w:pPr>
          </w:p>
        </w:tc>
      </w:tr>
      <w:tr w14:paraId="5E18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3411D707">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3F0C3E8A">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5C67962">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6FCDED2D">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340D8A0C">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5B32478">
            <w:pPr>
              <w:jc w:val="center"/>
              <w:rPr>
                <w:rFonts w:ascii="Times New Roman" w:hAnsi="Times New Roman" w:cs="Times New Roman"/>
                <w:kern w:val="0"/>
                <w:sz w:val="18"/>
                <w:szCs w:val="18"/>
              </w:rPr>
            </w:pPr>
          </w:p>
        </w:tc>
        <w:tc>
          <w:tcPr>
            <w:tcW w:w="567" w:type="dxa"/>
            <w:vMerge w:val="continue"/>
            <w:tcBorders>
              <w:top w:val="single" w:color="auto" w:sz="4" w:space="0"/>
              <w:left w:val="single" w:color="auto" w:sz="4" w:space="0"/>
              <w:bottom w:val="single" w:color="000000" w:sz="4" w:space="0"/>
              <w:right w:val="single" w:color="auto" w:sz="4" w:space="0"/>
            </w:tcBorders>
            <w:vAlign w:val="center"/>
          </w:tcPr>
          <w:p w14:paraId="347DA858">
            <w:pPr>
              <w:jc w:val="left"/>
              <w:rPr>
                <w:rFonts w:ascii="宋体" w:hAnsi="宋体" w:cs="宋体"/>
                <w:kern w:val="0"/>
                <w:sz w:val="18"/>
                <w:szCs w:val="18"/>
              </w:rPr>
            </w:pPr>
          </w:p>
        </w:tc>
        <w:tc>
          <w:tcPr>
            <w:tcW w:w="1276" w:type="dxa"/>
            <w:tcBorders>
              <w:top w:val="nil"/>
              <w:left w:val="nil"/>
              <w:bottom w:val="single" w:color="auto" w:sz="4" w:space="0"/>
              <w:right w:val="single" w:color="auto" w:sz="4" w:space="0"/>
            </w:tcBorders>
            <w:shd w:val="clear" w:color="auto" w:fill="auto"/>
            <w:vAlign w:val="center"/>
          </w:tcPr>
          <w:p w14:paraId="5A4C6329">
            <w:pPr>
              <w:jc w:val="left"/>
              <w:rPr>
                <w:rFonts w:ascii="宋体" w:hAnsi="宋体" w:cs="宋体"/>
                <w:kern w:val="0"/>
                <w:sz w:val="18"/>
                <w:szCs w:val="18"/>
              </w:rPr>
            </w:pPr>
            <w:r>
              <w:rPr>
                <w:rFonts w:hint="eastAsia" w:ascii="宋体" w:hAnsi="宋体" w:cs="宋体"/>
                <w:kern w:val="0"/>
                <w:sz w:val="18"/>
                <w:szCs w:val="18"/>
              </w:rPr>
              <w:t>制造厂</w:t>
            </w:r>
          </w:p>
        </w:tc>
        <w:tc>
          <w:tcPr>
            <w:tcW w:w="1559" w:type="dxa"/>
            <w:tcBorders>
              <w:top w:val="nil"/>
              <w:left w:val="nil"/>
              <w:bottom w:val="single" w:color="auto" w:sz="4" w:space="0"/>
              <w:right w:val="single" w:color="auto" w:sz="4" w:space="0"/>
            </w:tcBorders>
            <w:shd w:val="clear" w:color="auto" w:fill="auto"/>
            <w:vAlign w:val="center"/>
          </w:tcPr>
          <w:p w14:paraId="54361587">
            <w:pPr>
              <w:jc w:val="center"/>
              <w:rPr>
                <w:rFonts w:ascii="宋体" w:hAnsi="宋体" w:cs="宋体"/>
                <w:kern w:val="0"/>
                <w:sz w:val="18"/>
                <w:szCs w:val="18"/>
              </w:rPr>
            </w:pPr>
          </w:p>
        </w:tc>
      </w:tr>
      <w:tr w14:paraId="357A2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284753B8">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1ABBE764">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EB3B9B6">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17246CDC">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2F2290ED">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0C90EDE4">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3E0CD1AA">
            <w:pPr>
              <w:jc w:val="left"/>
              <w:rPr>
                <w:rFonts w:ascii="宋体" w:hAnsi="宋体" w:cs="宋体"/>
                <w:kern w:val="0"/>
                <w:sz w:val="18"/>
                <w:szCs w:val="18"/>
              </w:rPr>
            </w:pPr>
            <w:r>
              <w:rPr>
                <w:rFonts w:hint="eastAsia" w:ascii="宋体" w:hAnsi="宋体" w:cs="宋体"/>
                <w:kern w:val="0"/>
                <w:sz w:val="18"/>
                <w:szCs w:val="18"/>
              </w:rPr>
              <w:t>相对分辨力(%)</w:t>
            </w:r>
          </w:p>
        </w:tc>
        <w:tc>
          <w:tcPr>
            <w:tcW w:w="1559" w:type="dxa"/>
            <w:tcBorders>
              <w:top w:val="nil"/>
              <w:left w:val="nil"/>
              <w:bottom w:val="single" w:color="auto" w:sz="4" w:space="0"/>
              <w:right w:val="single" w:color="auto" w:sz="4" w:space="0"/>
            </w:tcBorders>
            <w:shd w:val="clear" w:color="auto" w:fill="auto"/>
            <w:vAlign w:val="center"/>
          </w:tcPr>
          <w:p w14:paraId="1FD16CB3">
            <w:pPr>
              <w:jc w:val="center"/>
              <w:rPr>
                <w:rFonts w:ascii="宋体" w:hAnsi="宋体" w:cs="宋体"/>
                <w:kern w:val="0"/>
                <w:sz w:val="18"/>
                <w:szCs w:val="18"/>
              </w:rPr>
            </w:pPr>
          </w:p>
        </w:tc>
      </w:tr>
      <w:tr w14:paraId="54CF9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6A81BFAE">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22918AD6">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2E66FA7D">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7464CE32">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5C959023">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65D7ACFA">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4DDF4507">
            <w:pPr>
              <w:jc w:val="left"/>
              <w:rPr>
                <w:rFonts w:ascii="宋体" w:hAnsi="宋体" w:cs="宋体"/>
                <w:kern w:val="0"/>
                <w:sz w:val="18"/>
                <w:szCs w:val="18"/>
              </w:rPr>
            </w:pPr>
            <w:r>
              <w:rPr>
                <w:rFonts w:hint="eastAsia" w:ascii="宋体" w:hAnsi="宋体" w:cs="宋体"/>
                <w:kern w:val="0"/>
                <w:sz w:val="18"/>
                <w:szCs w:val="18"/>
              </w:rPr>
              <w:t>内泄漏(%FS)</w:t>
            </w:r>
          </w:p>
        </w:tc>
        <w:tc>
          <w:tcPr>
            <w:tcW w:w="1559" w:type="dxa"/>
            <w:tcBorders>
              <w:top w:val="nil"/>
              <w:left w:val="nil"/>
              <w:bottom w:val="single" w:color="auto" w:sz="4" w:space="0"/>
              <w:right w:val="single" w:color="auto" w:sz="4" w:space="0"/>
            </w:tcBorders>
            <w:shd w:val="clear" w:color="auto" w:fill="auto"/>
            <w:vAlign w:val="center"/>
          </w:tcPr>
          <w:p w14:paraId="03BF3C59">
            <w:pPr>
              <w:jc w:val="center"/>
              <w:rPr>
                <w:rFonts w:ascii="宋体" w:hAnsi="宋体" w:cs="宋体"/>
                <w:kern w:val="0"/>
                <w:sz w:val="18"/>
                <w:szCs w:val="18"/>
              </w:rPr>
            </w:pPr>
          </w:p>
        </w:tc>
      </w:tr>
      <w:tr w14:paraId="358AC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16644344">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5A3F0F2C">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36B5EC1C">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5BFF8320">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5DC33925">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6ADFEF8">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14:paraId="0204FA02">
            <w:pPr>
              <w:jc w:val="left"/>
              <w:rPr>
                <w:rFonts w:ascii="宋体" w:hAnsi="宋体" w:cs="宋体"/>
                <w:kern w:val="0"/>
                <w:sz w:val="18"/>
                <w:szCs w:val="18"/>
              </w:rPr>
            </w:pPr>
            <w:r>
              <w:rPr>
                <w:rFonts w:hint="eastAsia" w:ascii="宋体" w:hAnsi="宋体" w:cs="宋体"/>
                <w:kern w:val="0"/>
                <w:sz w:val="18"/>
                <w:szCs w:val="18"/>
              </w:rPr>
              <w:t>零点漂移(%FS)</w:t>
            </w:r>
          </w:p>
        </w:tc>
        <w:tc>
          <w:tcPr>
            <w:tcW w:w="1559" w:type="dxa"/>
            <w:tcBorders>
              <w:top w:val="nil"/>
              <w:left w:val="nil"/>
              <w:bottom w:val="single" w:color="auto" w:sz="4" w:space="0"/>
              <w:right w:val="single" w:color="auto" w:sz="4" w:space="0"/>
            </w:tcBorders>
            <w:shd w:val="clear" w:color="auto" w:fill="auto"/>
            <w:vAlign w:val="center"/>
          </w:tcPr>
          <w:p w14:paraId="0D84C66E">
            <w:pPr>
              <w:jc w:val="center"/>
              <w:rPr>
                <w:rFonts w:ascii="宋体" w:hAnsi="宋体" w:cs="宋体"/>
                <w:kern w:val="0"/>
                <w:sz w:val="18"/>
                <w:szCs w:val="18"/>
              </w:rPr>
            </w:pPr>
          </w:p>
        </w:tc>
      </w:tr>
      <w:tr w14:paraId="3E75E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50E1DAD4">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4BF7F621">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58D60C9B">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55695549">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12DFC3DF">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3999FBE0">
            <w:pPr>
              <w:jc w:val="center"/>
              <w:rPr>
                <w:rFonts w:ascii="Times New Roman" w:hAnsi="Times New Roman" w:cs="Times New Roman"/>
                <w:kern w:val="0"/>
                <w:sz w:val="18"/>
                <w:szCs w:val="18"/>
              </w:rPr>
            </w:pP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94CB58">
            <w:pPr>
              <w:jc w:val="left"/>
              <w:rPr>
                <w:rFonts w:ascii="宋体" w:hAnsi="宋体" w:cs="宋体"/>
                <w:kern w:val="0"/>
                <w:sz w:val="18"/>
                <w:szCs w:val="18"/>
              </w:rPr>
            </w:pPr>
            <w:r>
              <w:rPr>
                <w:rFonts w:hint="eastAsia" w:ascii="宋体" w:hAnsi="宋体" w:cs="宋体"/>
                <w:kern w:val="0"/>
                <w:sz w:val="18"/>
                <w:szCs w:val="18"/>
              </w:rPr>
              <w:t>行程</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138B2467">
            <w:pPr>
              <w:jc w:val="left"/>
              <w:rPr>
                <w:rFonts w:ascii="宋体" w:hAnsi="宋体" w:cs="宋体"/>
                <w:kern w:val="0"/>
                <w:sz w:val="18"/>
                <w:szCs w:val="18"/>
              </w:rPr>
            </w:pPr>
          </w:p>
        </w:tc>
      </w:tr>
      <w:tr w14:paraId="188B0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1A3CE0E2">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46BE6332">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0ADFB14">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345686EC">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3EF933F0">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758F0129">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vAlign w:val="center"/>
          </w:tcPr>
          <w:p w14:paraId="2D58C752">
            <w:pPr>
              <w:jc w:val="left"/>
              <w:rPr>
                <w:rFonts w:ascii="宋体" w:hAnsi="宋体" w:cs="宋体"/>
                <w:kern w:val="0"/>
                <w:sz w:val="18"/>
                <w:szCs w:val="18"/>
              </w:rPr>
            </w:pPr>
            <w:r>
              <w:rPr>
                <w:rFonts w:hint="eastAsia" w:ascii="宋体" w:hAnsi="宋体" w:cs="宋体"/>
                <w:kern w:val="0"/>
                <w:sz w:val="18"/>
                <w:szCs w:val="18"/>
              </w:rPr>
              <w:t>下压板尺寸</w:t>
            </w:r>
          </w:p>
        </w:tc>
        <w:tc>
          <w:tcPr>
            <w:tcW w:w="1559" w:type="dxa"/>
            <w:tcBorders>
              <w:top w:val="single" w:color="auto" w:sz="4" w:space="0"/>
              <w:left w:val="nil"/>
              <w:bottom w:val="single" w:color="auto" w:sz="4" w:space="0"/>
              <w:right w:val="single" w:color="auto" w:sz="4" w:space="0"/>
            </w:tcBorders>
            <w:vAlign w:val="center"/>
          </w:tcPr>
          <w:p w14:paraId="78F88FAC">
            <w:pPr>
              <w:jc w:val="left"/>
              <w:rPr>
                <w:rFonts w:ascii="宋体" w:hAnsi="宋体" w:cs="宋体"/>
                <w:kern w:val="0"/>
                <w:sz w:val="18"/>
                <w:szCs w:val="18"/>
              </w:rPr>
            </w:pPr>
          </w:p>
        </w:tc>
      </w:tr>
      <w:tr w14:paraId="78B33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single" w:color="auto" w:sz="4" w:space="0"/>
              <w:bottom w:val="single" w:color="auto" w:sz="4" w:space="0"/>
              <w:right w:val="single" w:color="auto" w:sz="4" w:space="0"/>
            </w:tcBorders>
            <w:shd w:val="clear" w:color="auto" w:fill="auto"/>
            <w:vAlign w:val="center"/>
          </w:tcPr>
          <w:p w14:paraId="636C584A">
            <w:pPr>
              <w:jc w:val="center"/>
              <w:rPr>
                <w:rFonts w:ascii="Times New Roman" w:hAnsi="Times New Roman" w:cs="Times New Roman"/>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14:paraId="7A5954D5">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1BA4F6B7">
            <w:pPr>
              <w:jc w:val="center"/>
              <w:rPr>
                <w:rFonts w:ascii="Times New Roman" w:hAnsi="Times New Roman" w:cs="Times New Roman"/>
                <w:kern w:val="0"/>
                <w:sz w:val="18"/>
                <w:szCs w:val="18"/>
              </w:rPr>
            </w:pPr>
          </w:p>
        </w:tc>
        <w:tc>
          <w:tcPr>
            <w:tcW w:w="1177" w:type="dxa"/>
            <w:tcBorders>
              <w:top w:val="nil"/>
              <w:left w:val="nil"/>
              <w:bottom w:val="single" w:color="auto" w:sz="4" w:space="0"/>
              <w:right w:val="single" w:color="auto" w:sz="4" w:space="0"/>
            </w:tcBorders>
            <w:shd w:val="clear" w:color="auto" w:fill="auto"/>
            <w:vAlign w:val="center"/>
          </w:tcPr>
          <w:p w14:paraId="7F8D1F7F">
            <w:pPr>
              <w:jc w:val="center"/>
              <w:rPr>
                <w:rFonts w:ascii="Times New Roman" w:hAnsi="Times New Roman" w:cs="Times New Roman"/>
                <w:kern w:val="0"/>
                <w:sz w:val="18"/>
                <w:szCs w:val="18"/>
              </w:rPr>
            </w:pPr>
          </w:p>
        </w:tc>
        <w:tc>
          <w:tcPr>
            <w:tcW w:w="666" w:type="dxa"/>
            <w:tcBorders>
              <w:top w:val="nil"/>
              <w:left w:val="nil"/>
              <w:bottom w:val="single" w:color="auto" w:sz="4" w:space="0"/>
              <w:right w:val="single" w:color="auto" w:sz="4" w:space="0"/>
            </w:tcBorders>
            <w:shd w:val="clear" w:color="auto" w:fill="auto"/>
            <w:vAlign w:val="center"/>
          </w:tcPr>
          <w:p w14:paraId="0C6EB75B">
            <w:pPr>
              <w:jc w:val="center"/>
              <w:rPr>
                <w:rFonts w:ascii="Times New Roman" w:hAnsi="Times New Roman" w:cs="Times New Roman"/>
                <w:kern w:val="0"/>
                <w:sz w:val="18"/>
                <w:szCs w:val="18"/>
              </w:rPr>
            </w:pPr>
          </w:p>
        </w:tc>
        <w:tc>
          <w:tcPr>
            <w:tcW w:w="992" w:type="dxa"/>
            <w:tcBorders>
              <w:top w:val="nil"/>
              <w:left w:val="nil"/>
              <w:bottom w:val="single" w:color="auto" w:sz="4" w:space="0"/>
              <w:right w:val="single" w:color="auto" w:sz="4" w:space="0"/>
            </w:tcBorders>
            <w:shd w:val="clear" w:color="auto" w:fill="auto"/>
            <w:vAlign w:val="center"/>
          </w:tcPr>
          <w:p w14:paraId="7F4A7F1F">
            <w:pPr>
              <w:jc w:val="center"/>
              <w:rPr>
                <w:rFonts w:ascii="Times New Roman" w:hAnsi="Times New Roman" w:cs="Times New Roman"/>
                <w:kern w:val="0"/>
                <w:sz w:val="18"/>
                <w:szCs w:val="18"/>
              </w:rPr>
            </w:pPr>
          </w:p>
        </w:tc>
        <w:tc>
          <w:tcPr>
            <w:tcW w:w="1843" w:type="dxa"/>
            <w:gridSpan w:val="2"/>
            <w:tcBorders>
              <w:top w:val="single" w:color="auto" w:sz="4" w:space="0"/>
              <w:left w:val="nil"/>
              <w:bottom w:val="single" w:color="auto" w:sz="4" w:space="0"/>
              <w:right w:val="single" w:color="auto" w:sz="4" w:space="0"/>
            </w:tcBorders>
            <w:vAlign w:val="center"/>
          </w:tcPr>
          <w:p w14:paraId="5D6007C5">
            <w:pPr>
              <w:jc w:val="left"/>
              <w:rPr>
                <w:rFonts w:ascii="宋体" w:hAnsi="宋体" w:cs="宋体"/>
                <w:kern w:val="0"/>
                <w:sz w:val="18"/>
                <w:szCs w:val="18"/>
              </w:rPr>
            </w:pPr>
          </w:p>
        </w:tc>
        <w:tc>
          <w:tcPr>
            <w:tcW w:w="1559" w:type="dxa"/>
            <w:tcBorders>
              <w:top w:val="single" w:color="auto" w:sz="4" w:space="0"/>
              <w:left w:val="nil"/>
              <w:bottom w:val="single" w:color="auto" w:sz="4" w:space="0"/>
              <w:right w:val="single" w:color="auto" w:sz="4" w:space="0"/>
            </w:tcBorders>
            <w:vAlign w:val="center"/>
          </w:tcPr>
          <w:p w14:paraId="03399132">
            <w:pPr>
              <w:jc w:val="left"/>
              <w:rPr>
                <w:rFonts w:ascii="宋体" w:hAnsi="宋体" w:cs="宋体"/>
                <w:kern w:val="0"/>
                <w:sz w:val="18"/>
                <w:szCs w:val="18"/>
              </w:rPr>
            </w:pPr>
          </w:p>
        </w:tc>
      </w:tr>
      <w:tr w14:paraId="41797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8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0F2133">
            <w:pPr>
              <w:jc w:val="center"/>
              <w:rPr>
                <w:rFonts w:ascii="宋体" w:hAnsi="宋体" w:cs="宋体"/>
                <w:kern w:val="0"/>
                <w:sz w:val="18"/>
                <w:szCs w:val="18"/>
              </w:rPr>
            </w:pPr>
            <w:r>
              <w:rPr>
                <w:rFonts w:hint="eastAsia" w:ascii="宋体" w:hAnsi="宋体" w:cs="宋体"/>
                <w:kern w:val="0"/>
                <w:sz w:val="18"/>
                <w:szCs w:val="18"/>
              </w:rPr>
              <w:t>校准方程</w:t>
            </w:r>
          </w:p>
        </w:tc>
        <w:tc>
          <w:tcPr>
            <w:tcW w:w="722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3C0C809E">
            <w:pPr>
              <w:jc w:val="center"/>
              <w:rPr>
                <w:rFonts w:ascii="宋体" w:hAnsi="宋体" w:cs="宋体"/>
                <w:i/>
                <w:iCs/>
                <w:kern w:val="0"/>
                <w:sz w:val="18"/>
                <w:szCs w:val="18"/>
              </w:rPr>
            </w:pPr>
          </w:p>
        </w:tc>
      </w:tr>
    </w:tbl>
    <w:p w14:paraId="326A0533">
      <w:pPr>
        <w:pStyle w:val="19"/>
      </w:pPr>
    </w:p>
    <w:p w14:paraId="4343C1BC">
      <w:pPr>
        <w:pStyle w:val="19"/>
      </w:pPr>
    </w:p>
    <w:p w14:paraId="43101B5C">
      <w:pPr>
        <w:pStyle w:val="19"/>
      </w:pPr>
    </w:p>
    <w:p w14:paraId="6EA51520">
      <w:pPr>
        <w:pStyle w:val="19"/>
      </w:pPr>
    </w:p>
    <w:p w14:paraId="3ADA4D8A">
      <w:pPr>
        <w:pStyle w:val="19"/>
      </w:pPr>
    </w:p>
    <w:p w14:paraId="68D9CF7C">
      <w:pPr>
        <w:pStyle w:val="19"/>
        <w:ind w:firstLine="0" w:firstLineChars="0"/>
      </w:pPr>
    </w:p>
    <w:p w14:paraId="5316D7B4">
      <w:pPr>
        <w:pStyle w:val="19"/>
        <w:ind w:firstLine="0" w:firstLineChars="0"/>
      </w:pPr>
    </w:p>
    <w:p w14:paraId="0B492D87">
      <w:pPr>
        <w:pStyle w:val="19"/>
        <w:ind w:firstLine="0" w:firstLineChars="0"/>
      </w:pPr>
    </w:p>
    <w:p w14:paraId="00E90C9D">
      <w:pPr>
        <w:pStyle w:val="19"/>
        <w:ind w:firstLine="0" w:firstLineChars="0"/>
      </w:pPr>
    </w:p>
    <w:p w14:paraId="01E11373">
      <w:pPr>
        <w:pStyle w:val="19"/>
        <w:ind w:firstLine="0" w:firstLineChars="0"/>
      </w:pPr>
    </w:p>
    <w:p w14:paraId="385B9693">
      <w:pPr>
        <w:pStyle w:val="19"/>
        <w:ind w:firstLine="0" w:firstLineChars="0"/>
      </w:pPr>
    </w:p>
    <w:p w14:paraId="01D27631">
      <w:pPr>
        <w:pStyle w:val="19"/>
        <w:ind w:firstLine="0" w:firstLineChars="0"/>
      </w:pPr>
    </w:p>
    <w:p w14:paraId="16EEBE3F">
      <w:pPr>
        <w:pStyle w:val="19"/>
        <w:ind w:firstLine="0" w:firstLineChars="0"/>
      </w:pPr>
    </w:p>
    <w:p w14:paraId="7BCACECA">
      <w:pPr>
        <w:pStyle w:val="19"/>
        <w:ind w:firstLine="0" w:firstLineChars="0"/>
      </w:pPr>
    </w:p>
    <w:p w14:paraId="25ED6B3F">
      <w:pPr>
        <w:pStyle w:val="19"/>
        <w:ind w:firstLine="0" w:firstLineChars="0"/>
      </w:pPr>
    </w:p>
    <w:p w14:paraId="0D7847E4">
      <w:pPr>
        <w:pStyle w:val="19"/>
        <w:ind w:firstLine="0" w:firstLineChars="0"/>
      </w:pPr>
    </w:p>
    <w:p w14:paraId="46B774D3">
      <w:pPr>
        <w:pStyle w:val="19"/>
        <w:ind w:firstLine="0" w:firstLineChars="0"/>
      </w:pPr>
    </w:p>
    <w:p w14:paraId="0414690F">
      <w:pPr>
        <w:pStyle w:val="19"/>
        <w:ind w:firstLine="0" w:firstLineChars="0"/>
      </w:pPr>
    </w:p>
    <w:p w14:paraId="7AE8A96E">
      <w:pPr>
        <w:pStyle w:val="19"/>
        <w:ind w:firstLine="0" w:firstLineChars="0"/>
      </w:pPr>
    </w:p>
    <w:p w14:paraId="02DA427E">
      <w:pPr>
        <w:pStyle w:val="19"/>
        <w:ind w:firstLine="0" w:firstLineChars="0"/>
      </w:pPr>
    </w:p>
    <w:p w14:paraId="1A2C61DE">
      <w:pPr>
        <w:pStyle w:val="19"/>
        <w:ind w:firstLine="0" w:firstLineChars="0"/>
      </w:pPr>
    </w:p>
    <w:p w14:paraId="4362BDD0">
      <w:pPr>
        <w:pStyle w:val="19"/>
        <w:ind w:firstLine="0" w:firstLineChars="0"/>
      </w:pPr>
    </w:p>
    <w:p w14:paraId="620588A5">
      <w:pPr>
        <w:pStyle w:val="19"/>
        <w:ind w:firstLine="0" w:firstLineChars="0"/>
      </w:pPr>
    </w:p>
    <w:p w14:paraId="0B36F3C3">
      <w:pPr>
        <w:pStyle w:val="54"/>
        <w:numPr>
          <w:ilvl w:val="0"/>
          <w:numId w:val="0"/>
        </w:numPr>
        <w:spacing w:before="312" w:after="312"/>
        <w:jc w:val="left"/>
        <w:rPr>
          <w:sz w:val="28"/>
          <w:szCs w:val="28"/>
        </w:rPr>
      </w:pPr>
      <w:r>
        <w:rPr>
          <w:rFonts w:hint="eastAsia"/>
          <w:sz w:val="28"/>
          <w:szCs w:val="28"/>
        </w:rPr>
        <w:t>附录C</w:t>
      </w:r>
    </w:p>
    <w:p w14:paraId="142A56F0">
      <w:pPr>
        <w:pStyle w:val="54"/>
        <w:numPr>
          <w:ilvl w:val="0"/>
          <w:numId w:val="0"/>
        </w:numPr>
        <w:spacing w:before="312" w:after="312"/>
        <w:jc w:val="center"/>
        <w:rPr>
          <w:sz w:val="28"/>
          <w:szCs w:val="28"/>
        </w:rPr>
      </w:pPr>
      <w:r>
        <w:rPr>
          <w:rFonts w:hint="eastAsia"/>
          <w:sz w:val="28"/>
          <w:szCs w:val="28"/>
        </w:rPr>
        <w:t>不确定度评定示例</w:t>
      </w:r>
    </w:p>
    <w:p w14:paraId="0FF6EECF">
      <w:pPr>
        <w:pStyle w:val="19"/>
        <w:spacing w:line="360" w:lineRule="auto"/>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C.1概述</w:t>
      </w:r>
    </w:p>
    <w:p w14:paraId="5F02C7CF">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C.1.1 校准方法：依据本规范。</w:t>
      </w:r>
    </w:p>
    <w:p w14:paraId="09352D96">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C.1.2 环境条件：室温 15℃,湿度73%RH</w:t>
      </w:r>
    </w:p>
    <w:p w14:paraId="5C8160B8">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C.1.3 力标准器：0.5级标准测力仪。</w:t>
      </w:r>
    </w:p>
    <w:p w14:paraId="480B2E12">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C.1.4 被校对象：原位压力机。</w:t>
      </w:r>
    </w:p>
    <w:p w14:paraId="3074EB13">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C.1.5 校准过程：在规定环境条件下，将力标准器与压力机沿受力轴线串接。由量程20%至最大值，一般取5～8点，驱动千斤顶主动加力，按力的递增方向校准压力机的各点力值示值，该过程连续进行3次，以3次示值的算术平均值作为压力机的校准结果。</w:t>
      </w:r>
    </w:p>
    <w:p w14:paraId="2A80B30F">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C.1.6 评定方法的使用：对符合上述条件的压力机校准结果，可直接采用本评定方法导出的计算公式进行校准结果的不确定度评定。</w:t>
      </w:r>
    </w:p>
    <w:p w14:paraId="583496C9">
      <w:pPr>
        <w:spacing w:line="360" w:lineRule="auto"/>
        <w:rPr>
          <w:rFonts w:asciiTheme="minorEastAsia" w:hAnsiTheme="minorEastAsia" w:eastAsiaTheme="minorEastAsia"/>
          <w:b/>
          <w:sz w:val="24"/>
          <w:szCs w:val="24"/>
        </w:rPr>
      </w:pPr>
      <w:r>
        <w:rPr>
          <w:rFonts w:hint="eastAsia" w:asciiTheme="minorEastAsia" w:hAnsiTheme="minorEastAsia" w:eastAsiaTheme="minorEastAsia"/>
          <w:sz w:val="24"/>
          <w:szCs w:val="24"/>
        </w:rPr>
        <w:t xml:space="preserve">C.2测量模型   </w:t>
      </w:r>
    </w:p>
    <w:p w14:paraId="4BD30ED2">
      <w:pPr>
        <w:spacing w:line="360" w:lineRule="auto"/>
        <w:ind w:firstLine="588" w:firstLineChars="245"/>
        <w:jc w:val="center"/>
        <w:rPr>
          <w:rFonts w:asciiTheme="minorEastAsia" w:hAnsiTheme="minorEastAsia" w:eastAsiaTheme="minorEastAsia"/>
          <w:b/>
          <w:sz w:val="24"/>
          <w:szCs w:val="24"/>
        </w:rPr>
      </w:pPr>
      <w:r>
        <w:rPr>
          <w:rFonts w:hint="eastAsia" w:asciiTheme="minorEastAsia" w:hAnsiTheme="minorEastAsia" w:eastAsiaTheme="minorEastAsia"/>
          <w:sz w:val="24"/>
          <w:szCs w:val="24"/>
        </w:rPr>
        <w:t>P=a</w:t>
      </w:r>
      <m:oMath>
        <m:bar>
          <m:barPr>
            <m:pos m:val="top"/>
            <m:ctrlPr>
              <w:rPr>
                <w:rFonts w:ascii="Cambria Math" w:hAnsiTheme="minorEastAsia" w:eastAsiaTheme="minorEastAsia"/>
                <w:i/>
                <w:sz w:val="24"/>
                <w:szCs w:val="24"/>
              </w:rPr>
            </m:ctrlPr>
          </m:barPr>
          <m:e>
            <m:r>
              <m:rPr/>
              <w:rPr>
                <w:rFonts w:ascii="Cambria Math" w:hAnsiTheme="minorEastAsia" w:eastAsiaTheme="minorEastAsia"/>
                <w:sz w:val="24"/>
                <w:szCs w:val="24"/>
              </w:rPr>
              <m:t>F</m:t>
            </m:r>
            <m:ctrlPr>
              <w:rPr>
                <w:rFonts w:ascii="Cambria Math" w:hAnsiTheme="minorEastAsia" w:eastAsiaTheme="minorEastAsia"/>
                <w:i/>
                <w:sz w:val="24"/>
                <w:szCs w:val="24"/>
              </w:rPr>
            </m:ctrlPr>
          </m:e>
        </m:bar>
      </m:oMath>
      <w:r>
        <w:rPr>
          <w:rFonts w:hint="eastAsia" w:asciiTheme="minorEastAsia" w:hAnsiTheme="minorEastAsia" w:eastAsiaTheme="minorEastAsia"/>
          <w:sz w:val="24"/>
          <w:szCs w:val="24"/>
        </w:rPr>
        <w:t>+b                           (1)</w:t>
      </w:r>
    </w:p>
    <w:p w14:paraId="35E7F5EC">
      <w:pPr>
        <w:spacing w:line="360" w:lineRule="auto"/>
        <w:ind w:firstLine="2400" w:firstLineChars="10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式中: P—压力表示值； </w:t>
      </w:r>
    </w:p>
    <w:p w14:paraId="66A232C1">
      <w:pPr>
        <w:spacing w:line="360" w:lineRule="auto"/>
        <w:jc w:val="center"/>
        <w:rPr>
          <w:rFonts w:asciiTheme="minorEastAsia" w:hAnsiTheme="minorEastAsia" w:eastAsiaTheme="minorEastAsia"/>
          <w:sz w:val="24"/>
          <w:szCs w:val="24"/>
        </w:rPr>
      </w:pPr>
      <m:oMath>
        <m:bar>
          <m:barPr>
            <m:pos m:val="top"/>
            <m:ctrlPr>
              <w:rPr>
                <w:rFonts w:ascii="Cambria Math" w:hAnsiTheme="minorEastAsia" w:eastAsiaTheme="minorEastAsia"/>
                <w:i/>
                <w:sz w:val="24"/>
                <w:szCs w:val="24"/>
              </w:rPr>
            </m:ctrlPr>
          </m:barPr>
          <m:e>
            <m:r>
              <m:rPr/>
              <w:rPr>
                <w:rFonts w:ascii="Cambria Math" w:hAnsiTheme="minorEastAsia" w:eastAsiaTheme="minorEastAsia"/>
                <w:sz w:val="24"/>
                <w:szCs w:val="24"/>
              </w:rPr>
              <m:t>F</m:t>
            </m:r>
            <m:ctrlPr>
              <w:rPr>
                <w:rFonts w:ascii="Cambria Math" w:hAnsiTheme="minorEastAsia" w:eastAsiaTheme="minorEastAsia"/>
                <w:i/>
                <w:sz w:val="24"/>
                <w:szCs w:val="24"/>
              </w:rPr>
            </m:ctrlPr>
          </m:e>
        </m:bar>
      </m:oMath>
      <w:r>
        <w:rPr>
          <w:rFonts w:hint="eastAsia" w:asciiTheme="minorEastAsia" w:hAnsiTheme="minorEastAsia" w:eastAsiaTheme="minorEastAsia"/>
          <w:sz w:val="24"/>
          <w:szCs w:val="24"/>
        </w:rPr>
        <w:t>—标准测力仪上读数的平均值。</w:t>
      </w:r>
    </w:p>
    <w:p w14:paraId="4B817F98">
      <w:pPr>
        <w:widowControl w:val="0"/>
        <w:spacing w:line="360" w:lineRule="auto"/>
        <w:ind w:left="2400" w:leftChars="1143"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a—斜率  </w:t>
      </w:r>
    </w:p>
    <w:p w14:paraId="7A50311D">
      <w:pPr>
        <w:widowControl w:val="0"/>
        <w:spacing w:line="360" w:lineRule="auto"/>
        <w:ind w:left="2400" w:leftChars="1143"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b—截距</w:t>
      </w:r>
    </w:p>
    <w:p w14:paraId="77D08C81">
      <w:pPr>
        <w:widowControl w:val="0"/>
        <w:spacing w:line="360" w:lineRule="auto"/>
        <w:ind w:left="2760"/>
        <w:rPr>
          <w:rFonts w:asciiTheme="minorEastAsia" w:hAnsiTheme="minorEastAsia" w:eastAsiaTheme="minorEastAsia"/>
          <w:sz w:val="24"/>
          <w:szCs w:val="24"/>
        </w:rPr>
      </w:pPr>
    </w:p>
    <w:p w14:paraId="6F3B849A">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C.3输入量标准不确定度的评定</w:t>
      </w:r>
    </w:p>
    <w:p w14:paraId="53C6DE33">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C.3.1 A类评定</w:t>
      </w:r>
    </w:p>
    <w:p w14:paraId="1D3C37C9">
      <w:pPr>
        <w:spacing w:line="360" w:lineRule="auto"/>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选一稳定的压力机，在短时间内用标准测力仪（0.5级</w:t>
      </w:r>
      <w:r>
        <w:rPr>
          <w:rFonts w:asciiTheme="minorEastAsia" w:hAnsiTheme="minorEastAsia" w:eastAsiaTheme="minorEastAsia"/>
          <w:sz w:val="24"/>
          <w:szCs w:val="24"/>
        </w:rPr>
        <w:t>）</w:t>
      </w:r>
      <w:r>
        <w:rPr>
          <w:rFonts w:hint="eastAsia" w:asciiTheme="minorEastAsia" w:hAnsiTheme="minorEastAsia" w:eastAsiaTheme="minorEastAsia"/>
          <w:sz w:val="24"/>
          <w:szCs w:val="24"/>
        </w:rPr>
        <w:t>对压力机30MPa点进行重复测量10次，得下列一组数据：</w:t>
      </w:r>
    </w:p>
    <w:tbl>
      <w:tblPr>
        <w:tblStyle w:val="25"/>
        <w:tblW w:w="0" w:type="auto"/>
        <w:tblInd w:w="2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2313"/>
        <w:gridCol w:w="2047"/>
      </w:tblGrid>
      <w:tr w14:paraId="0F6E8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5C4D182D">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313" w:type="dxa"/>
            <w:vAlign w:val="center"/>
          </w:tcPr>
          <w:p w14:paraId="19A05238">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压力表示值/MPa</w:t>
            </w:r>
          </w:p>
        </w:tc>
        <w:tc>
          <w:tcPr>
            <w:tcW w:w="2047" w:type="dxa"/>
            <w:vAlign w:val="center"/>
          </w:tcPr>
          <w:p w14:paraId="03D91BDD">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实测力值/kN</w:t>
            </w:r>
          </w:p>
        </w:tc>
      </w:tr>
      <w:tr w14:paraId="3C3B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5FD031F1">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313" w:type="dxa"/>
            <w:vAlign w:val="center"/>
          </w:tcPr>
          <w:p w14:paraId="2EB5A2A9">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4D935273">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485.4</w:t>
            </w:r>
          </w:p>
        </w:tc>
      </w:tr>
      <w:tr w14:paraId="41364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148A3E0E">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313" w:type="dxa"/>
            <w:vAlign w:val="center"/>
          </w:tcPr>
          <w:p w14:paraId="3AA5959D">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03D1FCB8">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489.6</w:t>
            </w:r>
          </w:p>
        </w:tc>
      </w:tr>
      <w:tr w14:paraId="3A8A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462938AE">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313" w:type="dxa"/>
            <w:vAlign w:val="center"/>
          </w:tcPr>
          <w:p w14:paraId="63B993D1">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21A2A523">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491.4</w:t>
            </w:r>
          </w:p>
        </w:tc>
      </w:tr>
      <w:tr w14:paraId="050B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6196AD43">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313" w:type="dxa"/>
            <w:vAlign w:val="center"/>
          </w:tcPr>
          <w:p w14:paraId="7E8C80E5">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0F879476">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488.8</w:t>
            </w:r>
          </w:p>
        </w:tc>
      </w:tr>
      <w:tr w14:paraId="7BF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5D196731">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313" w:type="dxa"/>
            <w:vAlign w:val="center"/>
          </w:tcPr>
          <w:p w14:paraId="4E3234A5">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13F71AD0">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485.4</w:t>
            </w:r>
          </w:p>
        </w:tc>
      </w:tr>
      <w:tr w14:paraId="6658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1562727A">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313" w:type="dxa"/>
            <w:vAlign w:val="center"/>
          </w:tcPr>
          <w:p w14:paraId="0D0A922A">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42D7E753">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489.6</w:t>
            </w:r>
          </w:p>
        </w:tc>
      </w:tr>
      <w:tr w14:paraId="26F2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476736E9">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313" w:type="dxa"/>
            <w:vAlign w:val="center"/>
          </w:tcPr>
          <w:p w14:paraId="3357A713">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29ABA0E0">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491.4</w:t>
            </w:r>
          </w:p>
        </w:tc>
      </w:tr>
      <w:tr w14:paraId="55C0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73977832">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2313" w:type="dxa"/>
            <w:vAlign w:val="center"/>
          </w:tcPr>
          <w:p w14:paraId="641D1EAF">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6310DEC2">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485.4</w:t>
            </w:r>
          </w:p>
        </w:tc>
      </w:tr>
      <w:tr w14:paraId="08489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45EA626C">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2313" w:type="dxa"/>
            <w:vAlign w:val="center"/>
          </w:tcPr>
          <w:p w14:paraId="08AA139B">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6FCCA84B">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491.4</w:t>
            </w:r>
          </w:p>
        </w:tc>
      </w:tr>
      <w:tr w14:paraId="25E9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781" w:type="dxa"/>
            <w:vAlign w:val="center"/>
          </w:tcPr>
          <w:p w14:paraId="17BDA057">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c>
          <w:tcPr>
            <w:tcW w:w="2313" w:type="dxa"/>
            <w:vAlign w:val="center"/>
          </w:tcPr>
          <w:p w14:paraId="14BA5B9F">
            <w:pPr>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30</w:t>
            </w:r>
          </w:p>
        </w:tc>
        <w:tc>
          <w:tcPr>
            <w:tcW w:w="2047" w:type="dxa"/>
            <w:vAlign w:val="center"/>
          </w:tcPr>
          <w:p w14:paraId="4756373C">
            <w:pPr>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489.6</w:t>
            </w:r>
          </w:p>
        </w:tc>
      </w:tr>
    </w:tbl>
    <w:p w14:paraId="2A269F4A">
      <w:pPr>
        <w:ind w:firstLine="840" w:firstLineChars="35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其平均值:488.8kN   </w:t>
      </w:r>
    </w:p>
    <w:p w14:paraId="6A6653D3">
      <w:pPr>
        <w:rPr>
          <w:rFonts w:asciiTheme="minorEastAsia" w:hAnsiTheme="minorEastAsia" w:eastAsiaTheme="minorEastAsia"/>
          <w:sz w:val="24"/>
          <w:szCs w:val="24"/>
        </w:rPr>
      </w:pPr>
      <w:r>
        <w:rPr>
          <w:rFonts w:hint="eastAsia" w:asciiTheme="minorEastAsia" w:hAnsiTheme="minorEastAsia" w:eastAsiaTheme="minorEastAsia"/>
          <w:i/>
          <w:iCs/>
          <w:sz w:val="24"/>
          <w:szCs w:val="24"/>
        </w:rPr>
        <w:t>s</w:t>
      </w:r>
      <w:r>
        <w:rPr>
          <w:rFonts w:hint="eastAsia" w:asciiTheme="minorEastAsia" w:hAnsiTheme="minorEastAsia" w:eastAsiaTheme="minorEastAsia"/>
          <w:sz w:val="24"/>
          <w:szCs w:val="24"/>
          <w:vertAlign w:val="subscript"/>
        </w:rPr>
        <w:t>（</w:t>
      </w:r>
      <m:oMath>
        <m:acc>
          <m:accPr>
            <m:chr m:val="̄"/>
            <m:ctrlPr>
              <w:rPr>
                <w:rFonts w:ascii="Cambria Math" w:hAnsiTheme="minorEastAsia" w:eastAsiaTheme="minorEastAsia"/>
                <w:i/>
                <w:sz w:val="24"/>
                <w:szCs w:val="24"/>
                <w:vertAlign w:val="subscript"/>
              </w:rPr>
            </m:ctrlPr>
          </m:accPr>
          <m:e>
            <m:r>
              <m:rPr/>
              <w:rPr>
                <w:rFonts w:ascii="Cambria Math" w:hAnsiTheme="minorEastAsia" w:eastAsiaTheme="minorEastAsia"/>
                <w:sz w:val="24"/>
                <w:szCs w:val="24"/>
                <w:vertAlign w:val="subscript"/>
              </w:rPr>
              <m:t>y</m:t>
            </m:r>
            <m:ctrlPr>
              <w:rPr>
                <w:rFonts w:ascii="Cambria Math" w:hAnsiTheme="minorEastAsia" w:eastAsiaTheme="minorEastAsia"/>
                <w:i/>
                <w:sz w:val="24"/>
                <w:szCs w:val="24"/>
                <w:vertAlign w:val="subscript"/>
              </w:rPr>
            </m:ctrlPr>
          </m:e>
        </m:acc>
      </m:oMath>
      <w:r>
        <w:rPr>
          <w:rFonts w:hint="eastAsia" w:asciiTheme="minorEastAsia" w:hAnsiTheme="minorEastAsia" w:eastAsiaTheme="minorEastAsia"/>
          <w:sz w:val="24"/>
          <w:szCs w:val="24"/>
          <w:vertAlign w:val="subscript"/>
        </w:rPr>
        <w:t>）</w:t>
      </w:r>
      <w:r>
        <w:rPr>
          <w:rFonts w:asciiTheme="minorEastAsia" w:hAnsiTheme="minorEastAsia" w:eastAsiaTheme="minorEastAsia"/>
          <w:sz w:val="24"/>
          <w:szCs w:val="24"/>
        </w:rPr>
        <w:t>=</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nary>
              <m:naryPr>
                <m:chr m:val="∑"/>
                <m:ctrlPr>
                  <w:rPr>
                    <w:rFonts w:ascii="Cambria Math" w:hAnsiTheme="minorEastAsia" w:eastAsiaTheme="minorEastAsia"/>
                    <w:i/>
                    <w:sz w:val="24"/>
                    <w:szCs w:val="24"/>
                  </w:rPr>
                </m:ctrlPr>
              </m:naryPr>
              <m:sub>
                <m:r>
                  <m:rPr/>
                  <w:rPr>
                    <w:rFonts w:ascii="Cambria Math" w:hAnsiTheme="minorEastAsia" w:eastAsiaTheme="minorEastAsia"/>
                    <w:sz w:val="24"/>
                    <w:szCs w:val="24"/>
                  </w:rPr>
                  <m:t>i=1</m:t>
                </m:r>
                <m:ctrlPr>
                  <w:rPr>
                    <w:rFonts w:ascii="Cambria Math" w:hAnsiTheme="minorEastAsia" w:eastAsiaTheme="minorEastAsia"/>
                    <w:i/>
                    <w:sz w:val="24"/>
                    <w:szCs w:val="24"/>
                  </w:rPr>
                </m:ctrlPr>
              </m:sub>
              <m:sup>
                <m:r>
                  <m:rPr/>
                  <w:rPr>
                    <w:rFonts w:ascii="Cambria Math" w:hAnsiTheme="minorEastAsia" w:eastAsiaTheme="minorEastAsia"/>
                    <w:sz w:val="24"/>
                    <w:szCs w:val="24"/>
                  </w:rPr>
                  <m:t>n</m:t>
                </m:r>
                <m:ctrlPr>
                  <w:rPr>
                    <w:rFonts w:ascii="Cambria Math" w:hAnsiTheme="minorEastAsia" w:eastAsiaTheme="minorEastAsia"/>
                    <w:i/>
                    <w:sz w:val="24"/>
                    <w:szCs w:val="24"/>
                  </w:rPr>
                </m:ctrlPr>
              </m:sup>
              <m:e>
                <m:f>
                  <m:fPr>
                    <m:ctrlPr>
                      <w:rPr>
                        <w:rFonts w:ascii="Cambria Math" w:hAnsiTheme="minorEastAsia" w:eastAsiaTheme="minorEastAsia"/>
                        <w:i/>
                        <w:sz w:val="24"/>
                        <w:szCs w:val="24"/>
                      </w:rPr>
                    </m:ctrlPr>
                  </m:fPr>
                  <m:num>
                    <m:r>
                      <m:rPr/>
                      <w:rPr>
                        <w:rFonts w:ascii="Cambria Math" w:hAnsiTheme="minorEastAsia" w:eastAsiaTheme="minorEastAsia"/>
                        <w:sz w:val="24"/>
                        <w:szCs w:val="24"/>
                      </w:rPr>
                      <m:t>(</m:t>
                    </m:r>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y</m:t>
                        </m:r>
                        <m:ctrlPr>
                          <w:rPr>
                            <w:rFonts w:ascii="Cambria Math" w:hAnsiTheme="minorEastAsia" w:eastAsiaTheme="minorEastAsia"/>
                            <w:i/>
                            <w:sz w:val="24"/>
                            <w:szCs w:val="24"/>
                          </w:rPr>
                        </m:ctrlPr>
                      </m:e>
                      <m:sub>
                        <m:r>
                          <m:rPr/>
                          <w:rPr>
                            <w:rFonts w:ascii="Cambria Math" w:hAnsiTheme="minorEastAsia" w:eastAsiaTheme="minorEastAsia"/>
                            <w:sz w:val="24"/>
                            <w:szCs w:val="24"/>
                          </w:rPr>
                          <m:t>i</m:t>
                        </m:r>
                        <m:ctrlPr>
                          <w:rPr>
                            <w:rFonts w:ascii="Cambria Math" w:hAnsiTheme="minorEastAsia" w:eastAsiaTheme="minorEastAsia"/>
                            <w:i/>
                            <w:sz w:val="24"/>
                            <w:szCs w:val="24"/>
                          </w:rPr>
                        </m:ctrlPr>
                      </m:sub>
                    </m:sSub>
                    <m:r>
                      <m:rPr/>
                      <w:rPr>
                        <w:rFonts w:hAnsi="Cambria Math" w:cs="Cambria Math" w:asciiTheme="minorEastAsia" w:eastAsiaTheme="minorEastAsia"/>
                        <w:sz w:val="24"/>
                        <w:szCs w:val="24"/>
                      </w:rPr>
                      <m:t>−</m:t>
                    </m:r>
                    <m:bar>
                      <m:barPr>
                        <m:pos m:val="top"/>
                        <m:ctrlPr>
                          <w:rPr>
                            <w:rFonts w:ascii="Cambria Math" w:hAnsiTheme="minorEastAsia" w:eastAsiaTheme="minorEastAsia"/>
                            <w:i/>
                            <w:sz w:val="24"/>
                            <w:szCs w:val="24"/>
                          </w:rPr>
                        </m:ctrlPr>
                      </m:barPr>
                      <m:e>
                        <m:r>
                          <m:rPr/>
                          <w:rPr>
                            <w:rFonts w:ascii="Cambria Math" w:hAnsiTheme="minorEastAsia" w:eastAsiaTheme="minorEastAsia"/>
                            <w:sz w:val="24"/>
                            <w:szCs w:val="24"/>
                          </w:rPr>
                          <m:t>y</m:t>
                        </m:r>
                        <m:ctrlPr>
                          <w:rPr>
                            <w:rFonts w:ascii="Cambria Math" w:hAnsiTheme="minorEastAsia" w:eastAsiaTheme="minorEastAsia"/>
                            <w:i/>
                            <w:sz w:val="24"/>
                            <w:szCs w:val="24"/>
                          </w:rPr>
                        </m:ctrlPr>
                      </m:e>
                    </m:bar>
                    <m:sSup>
                      <m:sSupPr>
                        <m:ctrlPr>
                          <w:rPr>
                            <w:rFonts w:ascii="Cambria Math" w:hAnsiTheme="minorEastAsia" w:eastAsiaTheme="minorEastAsia"/>
                            <w:i/>
                            <w:sz w:val="24"/>
                            <w:szCs w:val="24"/>
                          </w:rPr>
                        </m:ctrlPr>
                      </m:sSupPr>
                      <m:e>
                        <m:r>
                          <m:rPr/>
                          <w:rPr>
                            <w:rFonts w:ascii="Cambria Math" w:hAnsiTheme="minorEastAsia" w:eastAsiaTheme="minorEastAsia"/>
                            <w:sz w:val="24"/>
                            <w:szCs w:val="24"/>
                          </w:rPr>
                          <m:t>)</m:t>
                        </m:r>
                        <m:ctrlPr>
                          <w:rPr>
                            <w:rFonts w:ascii="Cambria Math" w:hAnsiTheme="minorEastAsia" w:eastAsiaTheme="minorEastAsia"/>
                            <w:i/>
                            <w:sz w:val="24"/>
                            <w:szCs w:val="24"/>
                          </w:rPr>
                        </m:ctrlPr>
                      </m:e>
                      <m:sup>
                        <m:r>
                          <m:rPr/>
                          <w:rPr>
                            <w:rFonts w:ascii="Cambria Math" w:hAnsiTheme="minorEastAsia" w:eastAsiaTheme="minorEastAsia"/>
                            <w:sz w:val="24"/>
                            <w:szCs w:val="24"/>
                          </w:rPr>
                          <m:t>2</m:t>
                        </m:r>
                        <m:ctrlPr>
                          <w:rPr>
                            <w:rFonts w:ascii="Cambria Math" w:hAnsiTheme="minorEastAsia" w:eastAsiaTheme="minorEastAsia"/>
                            <w:i/>
                            <w:sz w:val="24"/>
                            <w:szCs w:val="24"/>
                          </w:rPr>
                        </m:ctrlPr>
                      </m:sup>
                    </m:sSup>
                    <m:ctrlPr>
                      <w:rPr>
                        <w:rFonts w:ascii="Cambria Math" w:hAnsiTheme="minorEastAsia" w:eastAsiaTheme="minorEastAsia"/>
                        <w:i/>
                        <w:sz w:val="24"/>
                        <w:szCs w:val="24"/>
                      </w:rPr>
                    </m:ctrlPr>
                  </m:num>
                  <m:den>
                    <m:r>
                      <m:rPr/>
                      <w:rPr>
                        <w:rFonts w:ascii="Cambria Math" w:hAnsiTheme="minorEastAsia" w:eastAsiaTheme="minorEastAsia"/>
                        <w:sz w:val="24"/>
                        <w:szCs w:val="24"/>
                      </w:rPr>
                      <m:t>10</m:t>
                    </m:r>
                    <m:r>
                      <m:rPr/>
                      <w:rPr>
                        <w:rFonts w:hAnsi="Cambria Math" w:cs="Cambria Math" w:asciiTheme="minorEastAsia" w:eastAsiaTheme="minorEastAsia"/>
                        <w:sz w:val="24"/>
                        <w:szCs w:val="24"/>
                      </w:rPr>
                      <m:t>−</m:t>
                    </m:r>
                    <m:r>
                      <m:rPr/>
                      <w:rPr>
                        <w:rFonts w:ascii="Cambria Math" w:hAnsiTheme="minorEastAsia" w:eastAsiaTheme="minorEastAsia"/>
                        <w:sz w:val="24"/>
                        <w:szCs w:val="24"/>
                      </w:rPr>
                      <m:t>1</m:t>
                    </m:r>
                    <m:ctrlPr>
                      <w:rPr>
                        <w:rFonts w:ascii="Cambria Math" w:hAnsiTheme="minorEastAsia" w:eastAsiaTheme="minorEastAsia"/>
                        <w:i/>
                        <w:sz w:val="24"/>
                        <w:szCs w:val="24"/>
                      </w:rPr>
                    </m:ctrlPr>
                  </m:den>
                </m:f>
                <m:ctrlPr>
                  <w:rPr>
                    <w:rFonts w:hint="eastAsia" w:ascii="Cambria Math" w:hAnsiTheme="minorEastAsia" w:eastAsiaTheme="minorEastAsia"/>
                    <w:i/>
                    <w:sz w:val="24"/>
                    <w:szCs w:val="24"/>
                  </w:rPr>
                </m:ctrlPr>
              </m:e>
            </m:nary>
            <m:ctrlPr>
              <w:rPr>
                <w:rFonts w:hint="eastAsia" w:ascii="Cambria Math" w:hAnsiTheme="minorEastAsia" w:eastAsiaTheme="minorEastAsia"/>
                <w:i/>
                <w:sz w:val="24"/>
                <w:szCs w:val="24"/>
              </w:rPr>
            </m:ctrlPr>
          </m:e>
        </m:rad>
      </m:oMath>
      <w:r>
        <w:rPr>
          <w:rFonts w:hint="eastAsia" w:asciiTheme="minorEastAsia" w:hAnsiTheme="minorEastAsia" w:eastAsiaTheme="minorEastAsia"/>
          <w:sz w:val="24"/>
          <w:szCs w:val="24"/>
        </w:rPr>
        <w:t>=2.51kN</w:t>
      </w:r>
    </w:p>
    <w:p w14:paraId="0AFB8B1D">
      <w:pPr>
        <w:rPr>
          <w:rFonts w:asciiTheme="minorEastAsia" w:hAnsiTheme="minorEastAsia" w:eastAsiaTheme="minorEastAsia"/>
          <w:sz w:val="24"/>
          <w:szCs w:val="24"/>
        </w:rPr>
      </w:pPr>
      <w:r>
        <w:rPr>
          <w:rFonts w:hint="eastAsia" w:asciiTheme="minorEastAsia" w:hAnsiTheme="minorEastAsia" w:eastAsiaTheme="minorEastAsia"/>
          <w:sz w:val="24"/>
          <w:szCs w:val="24"/>
        </w:rPr>
        <w:t>实际校准过程以3次重复测量示值的算术平均值作为压力机校准结果，</w:t>
      </w:r>
    </w:p>
    <w:p w14:paraId="0309DADC">
      <w:pP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故</w:t>
      </w:r>
      <w:r>
        <w:rPr>
          <w:rFonts w:hint="eastAsia" w:asciiTheme="minorEastAsia" w:hAnsiTheme="minorEastAsia" w:eastAsiaTheme="minorEastAsia"/>
          <w:i/>
          <w:iCs/>
          <w:sz w:val="24"/>
          <w:szCs w:val="24"/>
        </w:rPr>
        <w:t>s</w:t>
      </w:r>
      <w:r>
        <w:rPr>
          <w:rFonts w:hint="eastAsia" w:asciiTheme="minorEastAsia" w:hAnsiTheme="minorEastAsia" w:eastAsiaTheme="minorEastAsia"/>
          <w:sz w:val="24"/>
          <w:szCs w:val="24"/>
          <w:vertAlign w:val="subscript"/>
        </w:rPr>
        <w:t>1</w:t>
      </w:r>
      <w:r>
        <w:rPr>
          <w:rFonts w:hint="eastAsia" w:asciiTheme="minorEastAsia" w:hAnsiTheme="minorEastAsia" w:eastAsiaTheme="minorEastAsia"/>
          <w:sz w:val="24"/>
          <w:szCs w:val="24"/>
        </w:rPr>
        <w:t>=2.51/</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r>
              <m:rPr/>
              <w:rPr>
                <w:rFonts w:ascii="Cambria Math" w:hAnsiTheme="minorEastAsia" w:eastAsiaTheme="minorEastAsia"/>
                <w:sz w:val="24"/>
                <w:szCs w:val="24"/>
              </w:rPr>
              <m:t>3</m:t>
            </m:r>
            <m:ctrlPr>
              <w:rPr>
                <w:rFonts w:ascii="Cambria Math" w:hAnsiTheme="minorEastAsia" w:eastAsiaTheme="minorEastAsia"/>
                <w:i/>
                <w:sz w:val="24"/>
                <w:szCs w:val="24"/>
              </w:rPr>
            </m:ctrlPr>
          </m:e>
        </m:rad>
      </m:oMath>
      <w:r>
        <w:rPr>
          <w:rFonts w:hint="eastAsia" w:asciiTheme="minorEastAsia" w:hAnsiTheme="minorEastAsia" w:eastAsiaTheme="minorEastAsia"/>
          <w:sz w:val="24"/>
          <w:szCs w:val="24"/>
        </w:rPr>
        <w:t>=1.45kN</w:t>
      </w:r>
    </w:p>
    <w:p w14:paraId="6B6472AA">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代入校准方程</w:t>
      </w:r>
    </w:p>
    <w:p w14:paraId="52B71E53">
      <w:pPr>
        <w:spacing w:line="360" w:lineRule="auto"/>
        <w:ind w:firstLine="2160" w:firstLineChars="900"/>
        <w:rPr>
          <w:rFonts w:asciiTheme="minorEastAsia" w:hAnsiTheme="minorEastAsia" w:eastAsiaTheme="minorEastAsia"/>
          <w:sz w:val="24"/>
          <w:szCs w:val="24"/>
        </w:rPr>
      </w:pP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1</w:t>
      </w:r>
      <w:r>
        <w:rPr>
          <w:rFonts w:hint="eastAsia" w:asciiTheme="minorEastAsia" w:hAnsiTheme="minorEastAsia" w:eastAsiaTheme="minorEastAsia"/>
          <w:sz w:val="24"/>
          <w:szCs w:val="24"/>
        </w:rPr>
        <w:t>=0.06MPa</w:t>
      </w:r>
    </w:p>
    <w:p w14:paraId="3017250B">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C.3.2 B 类评定</w:t>
      </w:r>
    </w:p>
    <w:p w14:paraId="19AECF01">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a.由标准测力仪准确度等级引入的不确定度: </w:t>
      </w:r>
    </w:p>
    <w:p w14:paraId="59A4A282">
      <w:pPr>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标准测力仪的准确度等级为0.5，服从均匀分布，包含因子为</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r>
              <m:rPr/>
              <w:rPr>
                <w:rFonts w:ascii="Cambria Math" w:hAnsiTheme="minorEastAsia" w:eastAsiaTheme="minorEastAsia"/>
                <w:sz w:val="24"/>
                <w:szCs w:val="24"/>
              </w:rPr>
              <m:t>3</m:t>
            </m:r>
            <m:ctrlPr>
              <w:rPr>
                <w:rFonts w:ascii="Cambria Math" w:hAnsiTheme="minorEastAsia" w:eastAsiaTheme="minorEastAsia"/>
                <w:i/>
                <w:sz w:val="24"/>
                <w:szCs w:val="24"/>
              </w:rPr>
            </m:ctrlPr>
          </m:e>
        </m:rad>
      </m:oMath>
    </w:p>
    <w:p w14:paraId="0E8732F5">
      <w:pPr>
        <w:spacing w:line="360" w:lineRule="auto"/>
        <w:ind w:firstLine="1080" w:firstLineChars="450"/>
        <w:rPr>
          <w:rFonts w:asciiTheme="minorEastAsia" w:hAnsiTheme="minorEastAsia" w:eastAsiaTheme="minorEastAsia"/>
          <w:sz w:val="24"/>
          <w:szCs w:val="24"/>
        </w:rPr>
      </w:pPr>
      <w:r>
        <w:rPr>
          <w:rFonts w:hint="eastAsia" w:asciiTheme="minorEastAsia" w:hAnsiTheme="minorEastAsia" w:eastAsiaTheme="minorEastAsia"/>
          <w:sz w:val="24"/>
          <w:szCs w:val="24"/>
        </w:rPr>
        <w:t>故</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2</w:t>
      </w:r>
      <w:r>
        <w:rPr>
          <w:rFonts w:hint="eastAsia" w:asciiTheme="minorEastAsia" w:hAnsiTheme="minorEastAsia" w:eastAsiaTheme="minorEastAsia"/>
          <w:sz w:val="24"/>
          <w:szCs w:val="24"/>
        </w:rPr>
        <w:t>=0.09MPa</w:t>
      </w:r>
    </w:p>
    <w:p w14:paraId="243A6DB5">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b.由标准测力仪长期稳定度引入的不确定度: </w:t>
      </w:r>
    </w:p>
    <w:p w14:paraId="6C0AB444">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标准测力仪的长期稳定度扩展不确定度为0.5%，服从均匀分布，包含因子为</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r>
              <m:rPr/>
              <w:rPr>
                <w:rFonts w:ascii="Cambria Math" w:hAnsiTheme="minorEastAsia" w:eastAsiaTheme="minorEastAsia"/>
                <w:sz w:val="24"/>
                <w:szCs w:val="24"/>
              </w:rPr>
              <m:t>3</m:t>
            </m:r>
            <m:ctrlPr>
              <w:rPr>
                <w:rFonts w:ascii="Cambria Math" w:hAnsiTheme="minorEastAsia" w:eastAsiaTheme="minorEastAsia"/>
                <w:i/>
                <w:sz w:val="24"/>
                <w:szCs w:val="24"/>
              </w:rPr>
            </m:ctrlPr>
          </m:e>
        </m:rad>
      </m:oMath>
    </w:p>
    <w:p w14:paraId="4B935098">
      <w:pPr>
        <w:spacing w:line="360" w:lineRule="auto"/>
        <w:ind w:firstLine="1080" w:firstLineChars="450"/>
        <w:rPr>
          <w:rFonts w:asciiTheme="minorEastAsia" w:hAnsiTheme="minorEastAsia" w:eastAsiaTheme="minorEastAsia"/>
          <w:sz w:val="24"/>
          <w:szCs w:val="24"/>
        </w:rPr>
      </w:pPr>
      <w:r>
        <w:rPr>
          <w:rFonts w:hint="eastAsia" w:asciiTheme="minorEastAsia" w:hAnsiTheme="minorEastAsia" w:eastAsiaTheme="minorEastAsia"/>
          <w:sz w:val="24"/>
          <w:szCs w:val="24"/>
        </w:rPr>
        <w:t>故</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3</w:t>
      </w:r>
      <w:r>
        <w:rPr>
          <w:rFonts w:hint="eastAsia" w:asciiTheme="minorEastAsia" w:hAnsiTheme="minorEastAsia" w:eastAsiaTheme="minorEastAsia"/>
          <w:sz w:val="24"/>
          <w:szCs w:val="24"/>
        </w:rPr>
        <w:t>=0.09MPa</w:t>
      </w:r>
    </w:p>
    <w:p w14:paraId="7578F16D">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c.由温度变化引入的不确定度:</w:t>
      </w:r>
    </w:p>
    <w:p w14:paraId="0A0029FB">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实际工作中环境温度变化很小，其引入的不确定度分量可以忽略，但油温变化引入的不确定度分量难以忽略，压力机在校准过程中油温变化在10℃左右，估计为正态分布，</w:t>
      </w:r>
      <w:r>
        <w:rPr>
          <w:rFonts w:hint="eastAsia" w:asciiTheme="minorEastAsia" w:hAnsiTheme="minorEastAsia" w:eastAsiaTheme="minorEastAsia"/>
          <w:i/>
          <w:sz w:val="24"/>
          <w:szCs w:val="24"/>
        </w:rPr>
        <w:t>k</w:t>
      </w:r>
      <w:r>
        <w:rPr>
          <w:rFonts w:hint="eastAsia" w:asciiTheme="minorEastAsia" w:hAnsiTheme="minorEastAsia" w:eastAsiaTheme="minorEastAsia"/>
          <w:sz w:val="24"/>
          <w:szCs w:val="24"/>
        </w:rPr>
        <w:t>=2     K×P×10=0.12M</w:t>
      </w:r>
      <w:r>
        <w:rPr>
          <w:rFonts w:asciiTheme="minorEastAsia" w:hAnsiTheme="minorEastAsia" w:eastAsiaTheme="minorEastAsia"/>
          <w:sz w:val="24"/>
          <w:szCs w:val="24"/>
        </w:rPr>
        <w:t>p</w:t>
      </w:r>
      <w:r>
        <w:rPr>
          <w:rFonts w:hint="eastAsia" w:asciiTheme="minorEastAsia" w:hAnsiTheme="minorEastAsia" w:eastAsiaTheme="minorEastAsia"/>
          <w:sz w:val="24"/>
          <w:szCs w:val="24"/>
        </w:rPr>
        <w:t>a    K为温度修正系数约为：0.0004  P为压力表示值</w:t>
      </w:r>
    </w:p>
    <w:p w14:paraId="70AFDFBF">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故</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4</w:t>
      </w:r>
      <w:r>
        <w:rPr>
          <w:rFonts w:hint="eastAsia" w:asciiTheme="minorEastAsia" w:hAnsiTheme="minorEastAsia" w:eastAsiaTheme="minorEastAsia"/>
          <w:sz w:val="24"/>
          <w:szCs w:val="24"/>
        </w:rPr>
        <w:t>=0.12÷2=0.06M</w:t>
      </w:r>
      <w:r>
        <w:rPr>
          <w:rFonts w:asciiTheme="minorEastAsia" w:hAnsiTheme="minorEastAsia" w:eastAsiaTheme="minorEastAsia"/>
          <w:sz w:val="24"/>
          <w:szCs w:val="24"/>
        </w:rPr>
        <w:t>p</w:t>
      </w:r>
      <w:r>
        <w:rPr>
          <w:rFonts w:hint="eastAsia" w:asciiTheme="minorEastAsia" w:hAnsiTheme="minorEastAsia" w:eastAsiaTheme="minorEastAsia"/>
          <w:sz w:val="24"/>
          <w:szCs w:val="24"/>
        </w:rPr>
        <w:t>a</w:t>
      </w:r>
    </w:p>
    <w:p w14:paraId="3A635ACB">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d. 压力机指示器（压力表）准确度引入的标准不确定度分量</w:t>
      </w:r>
      <w:r>
        <w:rPr>
          <w:rFonts w:hint="eastAsia" w:asciiTheme="minorEastAsia" w:hAnsiTheme="minorEastAsia" w:eastAsiaTheme="minorEastAsia"/>
          <w:i/>
          <w:sz w:val="24"/>
          <w:szCs w:val="24"/>
        </w:rPr>
        <w:t>u</w:t>
      </w:r>
      <w:r>
        <w:rPr>
          <w:rFonts w:hint="eastAsia" w:asciiTheme="minorEastAsia" w:hAnsiTheme="minorEastAsia" w:eastAsiaTheme="minorEastAsia"/>
          <w:sz w:val="24"/>
          <w:szCs w:val="24"/>
          <w:vertAlign w:val="subscript"/>
        </w:rPr>
        <w:t>5</w:t>
      </w:r>
    </w:p>
    <w:p w14:paraId="2468D0FD">
      <w:pPr>
        <w:spacing w:line="360" w:lineRule="auto"/>
        <w:ind w:firstLine="435"/>
        <w:rPr>
          <w:rFonts w:asciiTheme="minorEastAsia" w:hAnsiTheme="minorEastAsia" w:eastAsiaTheme="minorEastAsia"/>
          <w:sz w:val="24"/>
          <w:szCs w:val="24"/>
        </w:rPr>
      </w:pPr>
      <w:r>
        <w:rPr>
          <w:rFonts w:hint="eastAsia" w:asciiTheme="minorEastAsia" w:hAnsiTheme="minorEastAsia" w:eastAsiaTheme="minorEastAsia"/>
          <w:sz w:val="24"/>
          <w:szCs w:val="24"/>
        </w:rPr>
        <w:t>所配用的压力表量程为60MPa，准确度为0.4级，属均匀分布，k=</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r>
              <m:rPr/>
              <w:rPr>
                <w:rFonts w:ascii="Cambria Math" w:hAnsiTheme="minorEastAsia" w:eastAsiaTheme="minorEastAsia"/>
                <w:sz w:val="24"/>
                <w:szCs w:val="24"/>
              </w:rPr>
              <m:t>3</m:t>
            </m:r>
            <m:ctrlPr>
              <w:rPr>
                <w:rFonts w:ascii="Cambria Math" w:hAnsiTheme="minorEastAsia" w:eastAsiaTheme="minorEastAsia"/>
                <w:i/>
                <w:sz w:val="24"/>
                <w:szCs w:val="24"/>
              </w:rPr>
            </m:ctrlPr>
          </m:e>
        </m:rad>
      </m:oMath>
      <w:r>
        <w:rPr>
          <w:rFonts w:hint="eastAsia" w:asciiTheme="minorEastAsia" w:hAnsiTheme="minorEastAsia" w:eastAsiaTheme="minorEastAsia"/>
          <w:sz w:val="24"/>
          <w:szCs w:val="24"/>
        </w:rPr>
        <w:t xml:space="preserve"> 则</w:t>
      </w:r>
    </w:p>
    <w:p w14:paraId="4403F0CB">
      <w:pPr>
        <w:spacing w:line="360" w:lineRule="auto"/>
        <w:ind w:firstLine="435"/>
        <w:rPr>
          <w:rFonts w:asciiTheme="minorEastAsia" w:hAnsiTheme="minorEastAsia" w:eastAsiaTheme="minorEastAsia"/>
          <w:sz w:val="24"/>
          <w:szCs w:val="24"/>
        </w:rPr>
      </w:pP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5</w:t>
      </w:r>
      <w:r>
        <w:rPr>
          <w:rFonts w:hint="eastAsia" w:asciiTheme="minorEastAsia" w:hAnsiTheme="minorEastAsia" w:eastAsiaTheme="minorEastAsia"/>
          <w:sz w:val="24"/>
          <w:szCs w:val="24"/>
        </w:rPr>
        <w:t>=60×0.4</w:t>
      </w:r>
      <w:r>
        <w:rPr>
          <w:rFonts w:asciiTheme="minorEastAsia" w:hAnsiTheme="minorEastAsia" w:eastAsiaTheme="minorEastAsia"/>
          <w:sz w:val="24"/>
          <w:szCs w:val="24"/>
        </w:rPr>
        <w:t>%</w:t>
      </w:r>
      <w:r>
        <w:rPr>
          <w:rFonts w:hint="eastAsia" w:asciiTheme="minorEastAsia" w:hAnsiTheme="minorEastAsia" w:eastAsiaTheme="minorEastAsia"/>
          <w:sz w:val="24"/>
          <w:szCs w:val="24"/>
        </w:rPr>
        <w:t xml:space="preserve">MPa/ </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r>
              <m:rPr/>
              <w:rPr>
                <w:rFonts w:ascii="Cambria Math" w:hAnsiTheme="minorEastAsia" w:eastAsiaTheme="minorEastAsia"/>
                <w:sz w:val="24"/>
                <w:szCs w:val="24"/>
              </w:rPr>
              <m:t>3</m:t>
            </m:r>
            <m:ctrlPr>
              <w:rPr>
                <w:rFonts w:ascii="Cambria Math" w:hAnsiTheme="minorEastAsia" w:eastAsiaTheme="minorEastAsia"/>
                <w:i/>
                <w:sz w:val="24"/>
                <w:szCs w:val="24"/>
              </w:rPr>
            </m:ctrlPr>
          </m:e>
        </m:rad>
      </m:oMath>
      <w:r>
        <w:rPr>
          <w:rFonts w:hint="eastAsia" w:asciiTheme="minorEastAsia" w:hAnsiTheme="minorEastAsia" w:eastAsiaTheme="minorEastAsia"/>
          <w:sz w:val="24"/>
          <w:szCs w:val="24"/>
        </w:rPr>
        <w:t xml:space="preserve"> =0.14MPa</w:t>
      </w:r>
    </w:p>
    <w:p w14:paraId="4B74575A">
      <w:pPr>
        <w:spacing w:line="360" w:lineRule="auto"/>
        <w:rPr>
          <w:rFonts w:asciiTheme="minorEastAsia" w:hAnsiTheme="minorEastAsia" w:eastAsiaTheme="minorEastAsia"/>
          <w:sz w:val="24"/>
          <w:szCs w:val="24"/>
        </w:rPr>
      </w:pPr>
    </w:p>
    <w:p w14:paraId="4D7B421A">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C.4合成标准不确定度的计算</w:t>
      </w:r>
    </w:p>
    <w:p w14:paraId="0C744EA9">
      <w:pPr>
        <w:spacing w:line="360" w:lineRule="auto"/>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输入量</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1</w:t>
      </w:r>
      <w:r>
        <w:rPr>
          <w:rFonts w:hint="eastAsia" w:asciiTheme="minorEastAsia" w:hAnsiTheme="minorEastAsia" w:eastAsiaTheme="minorEastAsia"/>
          <w:sz w:val="24"/>
          <w:szCs w:val="24"/>
        </w:rPr>
        <w:t>、</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2</w:t>
      </w:r>
      <w:r>
        <w:rPr>
          <w:rFonts w:hint="eastAsia" w:asciiTheme="minorEastAsia" w:hAnsiTheme="minorEastAsia" w:eastAsiaTheme="minorEastAsia"/>
          <w:sz w:val="24"/>
          <w:szCs w:val="24"/>
        </w:rPr>
        <w:t>、</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3</w:t>
      </w:r>
      <w:r>
        <w:rPr>
          <w:rFonts w:hint="eastAsia" w:asciiTheme="minorEastAsia" w:hAnsiTheme="minorEastAsia" w:eastAsiaTheme="minorEastAsia"/>
          <w:sz w:val="24"/>
          <w:szCs w:val="24"/>
        </w:rPr>
        <w:t>、</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4</w:t>
      </w:r>
      <w:r>
        <w:rPr>
          <w:rFonts w:hint="eastAsia" w:asciiTheme="minorEastAsia" w:hAnsiTheme="minorEastAsia" w:eastAsiaTheme="minorEastAsia"/>
          <w:sz w:val="24"/>
          <w:szCs w:val="24"/>
        </w:rPr>
        <w:t>、</w:t>
      </w:r>
      <w:r>
        <w:rPr>
          <w:rFonts w:hint="eastAsia" w:asciiTheme="minorEastAsia" w:hAnsiTheme="minorEastAsia" w:eastAsiaTheme="minorEastAsia"/>
          <w:i/>
          <w:iCs/>
          <w:sz w:val="24"/>
          <w:szCs w:val="24"/>
        </w:rPr>
        <w:t>u</w:t>
      </w:r>
      <w:r>
        <w:rPr>
          <w:rFonts w:hint="eastAsia" w:asciiTheme="minorEastAsia" w:hAnsiTheme="minorEastAsia" w:eastAsiaTheme="minorEastAsia"/>
          <w:sz w:val="24"/>
          <w:szCs w:val="24"/>
          <w:vertAlign w:val="subscript"/>
        </w:rPr>
        <w:t>5</w:t>
      </w:r>
      <w:r>
        <w:rPr>
          <w:rFonts w:hint="eastAsia" w:asciiTheme="minorEastAsia" w:hAnsiTheme="minorEastAsia" w:eastAsiaTheme="minorEastAsia"/>
          <w:sz w:val="24"/>
          <w:szCs w:val="24"/>
        </w:rPr>
        <w:t>彼此独立不相关，合成标准不确定度按式得</w:t>
      </w:r>
    </w:p>
    <w:p w14:paraId="01ECE8FD">
      <w:pPr>
        <w:spacing w:line="360" w:lineRule="auto"/>
        <w:rPr>
          <w:rFonts w:asciiTheme="minorEastAsia" w:hAnsiTheme="minorEastAsia" w:eastAsiaTheme="minorEastAsia"/>
          <w:sz w:val="24"/>
          <w:szCs w:val="24"/>
        </w:rPr>
      </w:pPr>
      <m:oMath>
        <m:r>
          <m:rPr/>
          <w:rPr>
            <w:rFonts w:hint="eastAsia" w:ascii="Cambria Math" w:hAnsi="Cambria Math" w:eastAsiaTheme="minorEastAsia"/>
            <w:sz w:val="24"/>
            <w:szCs w:val="24"/>
          </w:rPr>
          <m:t>u</m:t>
        </m:r>
      </m:oMath>
      <w:r>
        <w:rPr>
          <w:rFonts w:hint="eastAsia" w:asciiTheme="minorEastAsia" w:hAnsiTheme="minorEastAsia" w:eastAsiaTheme="minorEastAsia"/>
          <w:sz w:val="24"/>
          <w:szCs w:val="24"/>
        </w:rPr>
        <w:t>=</w:t>
      </w:r>
      <m:oMath>
        <m:rad>
          <m:radPr>
            <m:degHide m:val="1"/>
            <m:ctrlPr>
              <w:rPr>
                <w:rFonts w:ascii="Cambria Math" w:hAnsiTheme="minorEastAsia" w:eastAsiaTheme="minorEastAsia"/>
                <w:i/>
                <w:sz w:val="24"/>
                <w:szCs w:val="24"/>
              </w:rPr>
            </m:ctrlPr>
          </m:radPr>
          <m:deg>
            <m:ctrlPr>
              <w:rPr>
                <w:rFonts w:ascii="Cambria Math" w:hAnsiTheme="minorEastAsia" w:eastAsiaTheme="minorEastAsia"/>
                <w:i/>
                <w:sz w:val="24"/>
                <w:szCs w:val="24"/>
              </w:rPr>
            </m:ctrlPr>
          </m:deg>
          <m:e>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u</m:t>
                    </m:r>
                    <m:ctrlPr>
                      <w:rPr>
                        <w:rFonts w:ascii="Cambria Math" w:hAnsiTheme="minorEastAsia" w:eastAsiaTheme="minorEastAsia"/>
                        <w:i/>
                        <w:sz w:val="24"/>
                        <w:szCs w:val="24"/>
                      </w:rPr>
                    </m:ctrlPr>
                  </m:e>
                  <m:sub>
                    <m:r>
                      <m:rPr/>
                      <w:rPr>
                        <w:rFonts w:ascii="Cambria Math" w:hAnsiTheme="minorEastAsia" w:eastAsiaTheme="minorEastAsia"/>
                        <w:sz w:val="24"/>
                        <w:szCs w:val="24"/>
                      </w:rPr>
                      <m:t>1</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Cambria Math" w:hAnsiTheme="minorEastAsia" w:eastAsiaTheme="minorEastAsia"/>
                    <w:sz w:val="24"/>
                    <w:szCs w:val="24"/>
                  </w:rPr>
                  <m:t>2</m:t>
                </m:r>
                <m:ctrlPr>
                  <w:rPr>
                    <w:rFonts w:ascii="Cambria Math" w:hAnsiTheme="minorEastAsia" w:eastAsiaTheme="minorEastAsia"/>
                    <w:i/>
                    <w:sz w:val="24"/>
                    <w:szCs w:val="24"/>
                  </w:rPr>
                </m:ctrlPr>
              </m:sup>
            </m:sSup>
            <m:r>
              <m:rPr/>
              <w:rPr>
                <w:rFonts w:ascii="Cambria Math" w:hAnsiTheme="minorEastAsia" w:eastAsiaTheme="minorEastAsia"/>
                <w:sz w:val="24"/>
                <w:szCs w:val="24"/>
              </w:rPr>
              <m:t>+</m:t>
            </m:r>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u</m:t>
                    </m:r>
                    <m:ctrlPr>
                      <w:rPr>
                        <w:rFonts w:ascii="Cambria Math" w:hAnsiTheme="minorEastAsia" w:eastAsiaTheme="minorEastAsia"/>
                        <w:i/>
                        <w:sz w:val="24"/>
                        <w:szCs w:val="24"/>
                      </w:rPr>
                    </m:ctrlPr>
                  </m:e>
                  <m:sub>
                    <m:r>
                      <m:rPr/>
                      <w:rPr>
                        <w:rFonts w:ascii="Cambria Math" w:hAnsiTheme="minorEastAsia" w:eastAsiaTheme="minorEastAsia"/>
                        <w:sz w:val="24"/>
                        <w:szCs w:val="24"/>
                      </w:rPr>
                      <m:t>2</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Cambria Math" w:hAnsiTheme="minorEastAsia" w:eastAsiaTheme="minorEastAsia"/>
                    <w:sz w:val="24"/>
                    <w:szCs w:val="24"/>
                  </w:rPr>
                  <m:t>2</m:t>
                </m:r>
                <m:ctrlPr>
                  <w:rPr>
                    <w:rFonts w:ascii="Cambria Math" w:hAnsiTheme="minorEastAsia" w:eastAsiaTheme="minorEastAsia"/>
                    <w:i/>
                    <w:sz w:val="24"/>
                    <w:szCs w:val="24"/>
                  </w:rPr>
                </m:ctrlPr>
              </m:sup>
            </m:sSup>
            <m:r>
              <m:rPr/>
              <w:rPr>
                <w:rFonts w:ascii="Cambria Math" w:hAnsiTheme="minorEastAsia" w:eastAsiaTheme="minorEastAsia"/>
                <w:sz w:val="24"/>
                <w:szCs w:val="24"/>
              </w:rPr>
              <m:t>+</m:t>
            </m:r>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u</m:t>
                    </m:r>
                    <m:ctrlPr>
                      <w:rPr>
                        <w:rFonts w:ascii="Cambria Math" w:hAnsiTheme="minorEastAsia" w:eastAsiaTheme="minorEastAsia"/>
                        <w:i/>
                        <w:sz w:val="24"/>
                        <w:szCs w:val="24"/>
                      </w:rPr>
                    </m:ctrlPr>
                  </m:e>
                  <m:sub>
                    <m:r>
                      <m:rPr/>
                      <w:rPr>
                        <w:rFonts w:ascii="Cambria Math" w:hAnsiTheme="minorEastAsia" w:eastAsiaTheme="minorEastAsia"/>
                        <w:sz w:val="24"/>
                        <w:szCs w:val="24"/>
                      </w:rPr>
                      <m:t>3</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Cambria Math" w:hAnsiTheme="minorEastAsia" w:eastAsiaTheme="minorEastAsia"/>
                    <w:sz w:val="24"/>
                    <w:szCs w:val="24"/>
                  </w:rPr>
                  <m:t>2</m:t>
                </m:r>
                <m:ctrlPr>
                  <w:rPr>
                    <w:rFonts w:ascii="Cambria Math" w:hAnsiTheme="minorEastAsia" w:eastAsiaTheme="minorEastAsia"/>
                    <w:i/>
                    <w:sz w:val="24"/>
                    <w:szCs w:val="24"/>
                  </w:rPr>
                </m:ctrlPr>
              </m:sup>
            </m:sSup>
            <m:r>
              <m:rPr/>
              <w:rPr>
                <w:rFonts w:ascii="Cambria Math" w:hAnsiTheme="minorEastAsia" w:eastAsiaTheme="minorEastAsia"/>
                <w:sz w:val="24"/>
                <w:szCs w:val="24"/>
              </w:rPr>
              <m:t>+</m:t>
            </m:r>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u</m:t>
                    </m:r>
                    <m:ctrlPr>
                      <w:rPr>
                        <w:rFonts w:ascii="Cambria Math" w:hAnsiTheme="minorEastAsia" w:eastAsiaTheme="minorEastAsia"/>
                        <w:i/>
                        <w:sz w:val="24"/>
                        <w:szCs w:val="24"/>
                      </w:rPr>
                    </m:ctrlPr>
                  </m:e>
                  <m:sub>
                    <m:r>
                      <m:rPr/>
                      <w:rPr>
                        <w:rFonts w:ascii="Cambria Math" w:hAnsiTheme="minorEastAsia" w:eastAsiaTheme="minorEastAsia"/>
                        <w:sz w:val="24"/>
                        <w:szCs w:val="24"/>
                      </w:rPr>
                      <m:t>4</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Cambria Math" w:hAnsiTheme="minorEastAsia" w:eastAsiaTheme="minorEastAsia"/>
                    <w:sz w:val="24"/>
                    <w:szCs w:val="24"/>
                  </w:rPr>
                  <m:t>2</m:t>
                </m:r>
                <m:ctrlPr>
                  <w:rPr>
                    <w:rFonts w:ascii="Cambria Math" w:hAnsiTheme="minorEastAsia" w:eastAsiaTheme="minorEastAsia"/>
                    <w:i/>
                    <w:sz w:val="24"/>
                    <w:szCs w:val="24"/>
                  </w:rPr>
                </m:ctrlPr>
              </m:sup>
            </m:sSup>
            <m:r>
              <m:rPr/>
              <w:rPr>
                <w:rFonts w:ascii="Cambria Math" w:hAnsiTheme="minorEastAsia" w:eastAsiaTheme="minorEastAsia"/>
                <w:sz w:val="24"/>
                <w:szCs w:val="24"/>
              </w:rPr>
              <m:t>+</m:t>
            </m:r>
            <m:sSup>
              <m:sSupPr>
                <m:ctrlPr>
                  <w:rPr>
                    <w:rFonts w:ascii="Cambria Math" w:hAnsiTheme="minorEastAsia" w:eastAsiaTheme="minorEastAsia"/>
                    <w:i/>
                    <w:sz w:val="24"/>
                    <w:szCs w:val="24"/>
                  </w:rPr>
                </m:ctrlPr>
              </m:sSupPr>
              <m:e>
                <m:sSub>
                  <m:sSubPr>
                    <m:ctrlPr>
                      <w:rPr>
                        <w:rFonts w:ascii="Cambria Math" w:hAnsiTheme="minorEastAsia" w:eastAsiaTheme="minorEastAsia"/>
                        <w:i/>
                        <w:sz w:val="24"/>
                        <w:szCs w:val="24"/>
                      </w:rPr>
                    </m:ctrlPr>
                  </m:sSubPr>
                  <m:e>
                    <m:r>
                      <m:rPr/>
                      <w:rPr>
                        <w:rFonts w:ascii="Cambria Math" w:hAnsiTheme="minorEastAsia" w:eastAsiaTheme="minorEastAsia"/>
                        <w:sz w:val="24"/>
                        <w:szCs w:val="24"/>
                      </w:rPr>
                      <m:t>u</m:t>
                    </m:r>
                    <m:ctrlPr>
                      <w:rPr>
                        <w:rFonts w:ascii="Cambria Math" w:hAnsiTheme="minorEastAsia" w:eastAsiaTheme="minorEastAsia"/>
                        <w:i/>
                        <w:sz w:val="24"/>
                        <w:szCs w:val="24"/>
                      </w:rPr>
                    </m:ctrlPr>
                  </m:e>
                  <m:sub>
                    <m:r>
                      <m:rPr/>
                      <w:rPr>
                        <w:rFonts w:ascii="Cambria Math" w:hAnsiTheme="minorEastAsia" w:eastAsiaTheme="minorEastAsia"/>
                        <w:sz w:val="24"/>
                        <w:szCs w:val="24"/>
                      </w:rPr>
                      <m:t>5</m:t>
                    </m:r>
                    <m:ctrlPr>
                      <w:rPr>
                        <w:rFonts w:ascii="Cambria Math" w:hAnsiTheme="minorEastAsia" w:eastAsiaTheme="minorEastAsia"/>
                        <w:i/>
                        <w:sz w:val="24"/>
                        <w:szCs w:val="24"/>
                      </w:rPr>
                    </m:ctrlPr>
                  </m:sub>
                </m:sSub>
                <m:ctrlPr>
                  <w:rPr>
                    <w:rFonts w:ascii="Cambria Math" w:hAnsiTheme="minorEastAsia" w:eastAsiaTheme="minorEastAsia"/>
                    <w:i/>
                    <w:sz w:val="24"/>
                    <w:szCs w:val="24"/>
                  </w:rPr>
                </m:ctrlPr>
              </m:e>
              <m:sup>
                <m:r>
                  <m:rPr/>
                  <w:rPr>
                    <w:rFonts w:ascii="Cambria Math" w:hAnsiTheme="minorEastAsia" w:eastAsiaTheme="minorEastAsia"/>
                    <w:sz w:val="24"/>
                    <w:szCs w:val="24"/>
                  </w:rPr>
                  <m:t>2</m:t>
                </m:r>
                <m:ctrlPr>
                  <w:rPr>
                    <w:rFonts w:ascii="Cambria Math" w:hAnsiTheme="minorEastAsia" w:eastAsiaTheme="minorEastAsia"/>
                    <w:i/>
                    <w:sz w:val="24"/>
                    <w:szCs w:val="24"/>
                  </w:rPr>
                </m:ctrlPr>
              </m:sup>
            </m:sSup>
            <m:ctrlPr>
              <w:rPr>
                <w:rFonts w:hint="eastAsia" w:ascii="Cambria Math" w:hAnsiTheme="minorEastAsia" w:eastAsiaTheme="minorEastAsia"/>
                <w:i/>
                <w:sz w:val="24"/>
                <w:szCs w:val="24"/>
              </w:rPr>
            </m:ctrlPr>
          </m:e>
        </m:rad>
      </m:oMath>
      <w:r>
        <w:rPr>
          <w:rFonts w:hint="eastAsia" w:asciiTheme="minorEastAsia" w:hAnsiTheme="minorEastAsia" w:eastAsiaTheme="minorEastAsia"/>
          <w:sz w:val="24"/>
          <w:szCs w:val="24"/>
        </w:rPr>
        <w:t>=0.22Mpa</w:t>
      </w:r>
    </w:p>
    <w:p w14:paraId="06BB5EA5">
      <w:pPr>
        <w:spacing w:line="360" w:lineRule="auto"/>
        <w:ind w:firstLine="840" w:firstLineChars="350"/>
        <w:rPr>
          <w:rFonts w:asciiTheme="minorEastAsia" w:hAnsiTheme="minorEastAsia" w:eastAsiaTheme="minorEastAsia"/>
          <w:color w:val="FF0000"/>
          <w:sz w:val="24"/>
          <w:szCs w:val="24"/>
        </w:rPr>
      </w:pPr>
      <m:oMath>
        <m:sSub>
          <m:sSubPr>
            <m:ctrlPr>
              <w:rPr>
                <w:rFonts w:ascii="Cambria Math" w:hAnsiTheme="minorEastAsia" w:eastAsiaTheme="minorEastAsia"/>
                <w:i/>
                <w:sz w:val="24"/>
                <w:szCs w:val="24"/>
              </w:rPr>
            </m:ctrlPr>
          </m:sSubPr>
          <m:e>
            <m:r>
              <m:rPr/>
              <w:rPr>
                <w:rFonts w:hint="eastAsia" w:ascii="Cambria Math" w:hAnsiTheme="minorEastAsia" w:eastAsiaTheme="minorEastAsia"/>
                <w:sz w:val="24"/>
                <w:szCs w:val="24"/>
              </w:rPr>
              <m:t>u</m:t>
            </m:r>
            <m:ctrlPr>
              <w:rPr>
                <w:rFonts w:ascii="Cambria Math" w:hAnsiTheme="minorEastAsia" w:eastAsiaTheme="minorEastAsia"/>
                <w:i/>
                <w:sz w:val="24"/>
                <w:szCs w:val="24"/>
              </w:rPr>
            </m:ctrlPr>
          </m:e>
          <m:sub>
            <m:r>
              <m:rPr/>
              <w:rPr>
                <w:rFonts w:ascii="Cambria Math" w:hAnsiTheme="minorEastAsia" w:eastAsiaTheme="minorEastAsia"/>
                <w:sz w:val="24"/>
                <w:szCs w:val="24"/>
              </w:rPr>
              <m:t>rel</m:t>
            </m:r>
            <m:ctrlPr>
              <w:rPr>
                <w:rFonts w:ascii="Cambria Math" w:hAnsiTheme="minorEastAsia" w:eastAsiaTheme="minorEastAsia"/>
                <w:i/>
                <w:sz w:val="24"/>
                <w:szCs w:val="24"/>
              </w:rPr>
            </m:ctrlPr>
          </m:sub>
        </m:sSub>
      </m:oMath>
      <w:r>
        <w:rPr>
          <w:rFonts w:hint="eastAsia" w:asciiTheme="minorEastAsia" w:hAnsiTheme="minorEastAsia" w:eastAsiaTheme="minorEastAsia"/>
          <w:sz w:val="24"/>
          <w:szCs w:val="24"/>
        </w:rPr>
        <w:t>=0.22/30×100%=0.7%</w:t>
      </w:r>
    </w:p>
    <w:p w14:paraId="243D9D2E">
      <w:pPr>
        <w:spacing w:line="360" w:lineRule="auto"/>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 xml:space="preserve">C.5 扩展不确定度的评定 </w:t>
      </w:r>
    </w:p>
    <w:p w14:paraId="11520B55">
      <w:pPr>
        <w:pStyle w:val="1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扩展不确定度为 </w:t>
      </w:r>
      <w:r>
        <w:rPr>
          <w:rFonts w:hint="eastAsia" w:asciiTheme="minorEastAsia" w:hAnsiTheme="minorEastAsia" w:eastAsiaTheme="minorEastAsia"/>
          <w:i/>
          <w:sz w:val="24"/>
          <w:szCs w:val="24"/>
        </w:rPr>
        <w:t>U</w:t>
      </w:r>
      <w:r>
        <w:rPr>
          <w:rFonts w:hint="eastAsia" w:asciiTheme="minorEastAsia" w:hAnsiTheme="minorEastAsia" w:eastAsiaTheme="minorEastAsia"/>
          <w:i/>
          <w:sz w:val="24"/>
          <w:szCs w:val="24"/>
          <w:vertAlign w:val="subscript"/>
        </w:rPr>
        <w:t>rel</w:t>
      </w:r>
      <w:r>
        <w:rPr>
          <w:rFonts w:hint="eastAsia" w:asciiTheme="minorEastAsia" w:hAnsiTheme="minorEastAsia" w:eastAsiaTheme="minorEastAsia"/>
          <w:sz w:val="24"/>
          <w:szCs w:val="24"/>
        </w:rPr>
        <w:t xml:space="preserve">=1.4%  </w:t>
      </w:r>
      <w:r>
        <w:rPr>
          <w:rFonts w:hint="eastAsia" w:asciiTheme="minorEastAsia" w:hAnsiTheme="minorEastAsia" w:eastAsiaTheme="minorEastAsia"/>
          <w:i/>
          <w:sz w:val="24"/>
          <w:szCs w:val="24"/>
        </w:rPr>
        <w:t>k</w:t>
      </w:r>
      <w:r>
        <w:rPr>
          <w:rFonts w:hint="eastAsia" w:asciiTheme="minorEastAsia" w:hAnsiTheme="minorEastAsia" w:eastAsiaTheme="minorEastAsia"/>
          <w:sz w:val="24"/>
          <w:szCs w:val="24"/>
        </w:rPr>
        <w:t xml:space="preserve">=2  </w:t>
      </w:r>
    </w:p>
    <w:p w14:paraId="30612B0D">
      <w:pPr>
        <w:pStyle w:val="19"/>
        <w:spacing w:line="360" w:lineRule="auto"/>
      </w:pPr>
      <w:r>
        <w:pict>
          <v:rect id="_x0000_i1028" o:spt="1" style="height:1.5pt;width:116.95pt;" fillcolor="#808080" filled="t" stroked="f" coordsize="21600,21600" o:hr="t" o:hrstd="t" o:hrpct="250" o:hralign="center">
            <v:path/>
            <v:fill on="t" focussize="0,0"/>
            <v:stroke on="f"/>
            <v:imagedata o:title=""/>
            <o:lock v:ext="edit"/>
            <w10:wrap type="none"/>
            <w10:anchorlock/>
          </v:rect>
        </w:pict>
      </w:r>
    </w:p>
    <w:p w14:paraId="27D22109">
      <w:pPr>
        <w:pStyle w:val="19"/>
        <w:spacing w:line="360" w:lineRule="auto"/>
      </w:pPr>
    </w:p>
    <w:sectPr>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Georgia">
    <w:panose1 w:val="02040502050405020303"/>
    <w:charset w:val="00"/>
    <w:family w:val="roman"/>
    <w:pitch w:val="default"/>
    <w:sig w:usb0="00000287" w:usb1="00000000" w:usb2="00000000" w:usb3="00000000" w:csb0="2000009F" w:csb1="00000000"/>
  </w:font>
  <w:font w:name="SimHei-Identity-H">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FC9E6">
    <w:pPr>
      <w:pStyle w:val="52"/>
      <w:ind w:right="288"/>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39426"/>
      <w:docPartObj>
        <w:docPartGallery w:val="autotext"/>
      </w:docPartObj>
    </w:sdtPr>
    <w:sdtContent>
      <w:p w14:paraId="546338C3">
        <w:pPr>
          <w:pStyle w:val="15"/>
        </w:pPr>
        <w:r>
          <w:fldChar w:fldCharType="begin"/>
        </w:r>
        <w:r>
          <w:instrText xml:space="preserve"> PAGE   \* MERGEFORMAT </w:instrText>
        </w:r>
        <w:r>
          <w:fldChar w:fldCharType="separate"/>
        </w:r>
        <w:r>
          <w:rPr>
            <w:lang w:val="zh-CN"/>
          </w:rPr>
          <w:t>8</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7E7D5">
    <w:pPr>
      <w:spacing w:line="300" w:lineRule="exact"/>
      <w:jc w:val="center"/>
    </w:pPr>
  </w:p>
  <w:p w14:paraId="09B972C1">
    <w:pPr>
      <w:spacing w:line="360" w:lineRule="exact"/>
      <w:jc w:val="center"/>
      <w:rPr>
        <w:rFonts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03E30">
    <w:pPr>
      <w:pStyle w:val="53"/>
      <w:jc w:val="center"/>
      <w:rPr>
        <w:rFonts w:hAnsi="黑体"/>
      </w:rPr>
    </w:pPr>
    <w:r>
      <w:rPr>
        <w:rFonts w:hint="eastAsia" w:hAnsi="黑体"/>
      </w:rPr>
      <w:t xml:space="preserve">JJF </w:t>
    </w:r>
    <w:r>
      <w:rPr>
        <w:rFonts w:hAnsi="黑体"/>
      </w:rPr>
      <w:t>XX/ XXXXX</w:t>
    </w:r>
    <w:r>
      <w:rPr>
        <w:rFonts w:hAnsi="黑体" w:cs="Times New Roman"/>
      </w:rPr>
      <w:t>—</w:t>
    </w:r>
    <w:r>
      <w:rPr>
        <w:rFonts w:hint="eastAsia" w:hAnsi="黑体"/>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7"/>
      <w:suff w:val="nothing"/>
      <w:lvlText w:val="注%1："/>
      <w:lvlJc w:val="left"/>
      <w:pPr>
        <w:ind w:left="811" w:hanging="448"/>
      </w:pPr>
      <w:rPr>
        <w:rFonts w:hint="eastAsia" w:ascii="黑体" w:eastAsia="黑体" w:cs="Times New Roman"/>
        <w:b w:val="0"/>
        <w:bCs w:val="0"/>
        <w:i w:val="0"/>
        <w:iCs w:val="0"/>
        <w:sz w:val="18"/>
        <w:szCs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
    <w:nsid w:val="093C6778"/>
    <w:multiLevelType w:val="multilevel"/>
    <w:tmpl w:val="093C6778"/>
    <w:lvl w:ilvl="0" w:tentative="0">
      <w:start w:val="1"/>
      <w:numFmt w:val="decimal"/>
      <w:pStyle w:val="125"/>
      <w:suff w:val="nothing"/>
      <w:lvlText w:val="示例%1："/>
      <w:lvlJc w:val="left"/>
      <w:pPr>
        <w:ind w:firstLine="397"/>
      </w:pPr>
      <w:rPr>
        <w:rFonts w:hint="eastAsia" w:ascii="黑体" w:eastAsia="黑体" w:cs="Times New Roman"/>
        <w:sz w:val="18"/>
        <w:szCs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
    <w:nsid w:val="0AE367E9"/>
    <w:multiLevelType w:val="multilevel"/>
    <w:tmpl w:val="0AE367E9"/>
    <w:lvl w:ilvl="0" w:tentative="0">
      <w:start w:val="1"/>
      <w:numFmt w:val="none"/>
      <w:pStyle w:val="61"/>
      <w:suff w:val="nothing"/>
      <w:lvlText w:val="%1示例："/>
      <w:lvlJc w:val="left"/>
      <w:pPr>
        <w:ind w:firstLine="363"/>
      </w:pPr>
      <w:rPr>
        <w:rFonts w:hint="eastAsia" w:ascii="黑体" w:eastAsia="黑体" w:cs="Times New Roman"/>
        <w:b w:val="0"/>
        <w:bCs w:val="0"/>
        <w:i w:val="0"/>
        <w:iCs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3">
    <w:nsid w:val="0D983844"/>
    <w:multiLevelType w:val="multilevel"/>
    <w:tmpl w:val="0D983844"/>
    <w:lvl w:ilvl="0" w:tentative="0">
      <w:start w:val="1"/>
      <w:numFmt w:val="decimal"/>
      <w:pStyle w:val="138"/>
      <w:suff w:val="nothing"/>
      <w:lvlText w:val="图%1　"/>
      <w:lvlJc w:val="left"/>
      <w:rPr>
        <w:rFonts w:hint="eastAsia" w:ascii="黑体" w:hAnsi="Times New Roman" w:eastAsia="黑体" w:cs="Times New Roman"/>
        <w:b w:val="0"/>
        <w:bCs w:val="0"/>
        <w:i w:val="0"/>
        <w:iCs w:val="0"/>
        <w:sz w:val="21"/>
        <w:szCs w:val="21"/>
      </w:rPr>
    </w:lvl>
    <w:lvl w:ilvl="1" w:tentative="0">
      <w:start w:val="1"/>
      <w:numFmt w:val="decimal"/>
      <w:suff w:val="nothing"/>
      <w:lvlText w:val="%1%2　"/>
      <w:lvlJc w:val="left"/>
      <w:rPr>
        <w:rFonts w:hint="default" w:ascii="Times New Roman" w:hAnsi="Times New Roman" w:eastAsia="黑体" w:cs="Times New Roman"/>
        <w:b w:val="0"/>
        <w:bCs w:val="0"/>
        <w:i w:val="0"/>
        <w:iCs w:val="0"/>
        <w:sz w:val="21"/>
        <w:szCs w:val="21"/>
      </w:rPr>
    </w:lvl>
    <w:lvl w:ilvl="2" w:tentative="0">
      <w:start w:val="1"/>
      <w:numFmt w:val="decimal"/>
      <w:suff w:val="nothing"/>
      <w:lvlText w:val="%1%2.%3　"/>
      <w:lvlJc w:val="left"/>
      <w:rPr>
        <w:rFonts w:hint="default" w:ascii="Times New Roman" w:hAnsi="Times New Roman" w:eastAsia="黑体" w:cs="Times New Roman"/>
        <w:b w:val="0"/>
        <w:bCs w:val="0"/>
        <w:i w:val="0"/>
        <w:iCs w:val="0"/>
        <w:sz w:val="21"/>
        <w:szCs w:val="21"/>
      </w:rPr>
    </w:lvl>
    <w:lvl w:ilvl="3" w:tentative="0">
      <w:start w:val="1"/>
      <w:numFmt w:val="decimal"/>
      <w:suff w:val="nothing"/>
      <w:lvlText w:val="%1%2.%3.%4　"/>
      <w:lvlJc w:val="left"/>
      <w:rPr>
        <w:rFonts w:hint="default" w:ascii="Times New Roman" w:hAnsi="Times New Roman" w:eastAsia="黑体" w:cs="Times New Roman"/>
        <w:b w:val="0"/>
        <w:bCs w:val="0"/>
        <w:i w:val="0"/>
        <w:iCs w:val="0"/>
        <w:sz w:val="21"/>
        <w:szCs w:val="21"/>
      </w:rPr>
    </w:lvl>
    <w:lvl w:ilvl="4" w:tentative="0">
      <w:start w:val="1"/>
      <w:numFmt w:val="decimal"/>
      <w:suff w:val="nothing"/>
      <w:lvlText w:val="%1%2.%3.%4.%5　"/>
      <w:lvlJc w:val="left"/>
      <w:rPr>
        <w:rFonts w:hint="default" w:ascii="Times New Roman" w:hAnsi="Times New Roman" w:eastAsia="黑体" w:cs="Times New Roman"/>
        <w:b w:val="0"/>
        <w:bCs w:val="0"/>
        <w:i w:val="0"/>
        <w:iCs w:val="0"/>
        <w:sz w:val="21"/>
        <w:szCs w:val="21"/>
      </w:rPr>
    </w:lvl>
    <w:lvl w:ilvl="5" w:tentative="0">
      <w:start w:val="1"/>
      <w:numFmt w:val="decimal"/>
      <w:suff w:val="nothing"/>
      <w:lvlText w:val="%1%2.%3.%4.%5.%6　"/>
      <w:lvlJc w:val="left"/>
      <w:rPr>
        <w:rFonts w:hint="default" w:ascii="Times New Roman" w:hAnsi="Times New Roman" w:eastAsia="黑体" w:cs="Times New Roman"/>
        <w:b w:val="0"/>
        <w:bCs w:val="0"/>
        <w:i w:val="0"/>
        <w:iCs w:val="0"/>
        <w:sz w:val="21"/>
        <w:szCs w:val="21"/>
      </w:rPr>
    </w:lvl>
    <w:lvl w:ilvl="6" w:tentative="0">
      <w:start w:val="1"/>
      <w:numFmt w:val="decimal"/>
      <w:suff w:val="nothing"/>
      <w:lvlText w:val="%1%2.%3.%4.%5.%6.%7　"/>
      <w:lvlJc w:val="left"/>
      <w:rPr>
        <w:rFonts w:hint="default" w:ascii="Times New Roman"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4">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cs="Times New Roman"/>
        <w:b w:val="0"/>
        <w:bCs w:val="0"/>
        <w:i w:val="0"/>
        <w:iCs w:val="0"/>
        <w:sz w:val="18"/>
        <w:szCs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5">
    <w:nsid w:val="1DBF583A"/>
    <w:multiLevelType w:val="multilevel"/>
    <w:tmpl w:val="1DBF583A"/>
    <w:lvl w:ilvl="0" w:tentative="0">
      <w:start w:val="1"/>
      <w:numFmt w:val="decimal"/>
      <w:pStyle w:val="74"/>
      <w:suff w:val="nothing"/>
      <w:lvlText w:val="注%1："/>
      <w:lvlJc w:val="left"/>
      <w:pPr>
        <w:ind w:left="811" w:hanging="448"/>
      </w:pPr>
      <w:rPr>
        <w:rFonts w:hint="eastAsia" w:ascii="黑体" w:eastAsia="黑体" w:cs="Times New Roman"/>
        <w:b w:val="0"/>
        <w:bCs w:val="0"/>
        <w:i w:val="0"/>
        <w:iCs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6">
    <w:nsid w:val="1FC91163"/>
    <w:multiLevelType w:val="multilevel"/>
    <w:tmpl w:val="1FC91163"/>
    <w:lvl w:ilvl="0" w:tentative="0">
      <w:start w:val="1"/>
      <w:numFmt w:val="decimal"/>
      <w:pStyle w:val="54"/>
      <w:suff w:val="nothing"/>
      <w:lvlText w:val="%1　"/>
      <w:lvlJc w:val="left"/>
      <w:rPr>
        <w:rFonts w:hint="eastAsia" w:ascii="黑体" w:hAnsi="Times New Roman" w:eastAsia="黑体" w:cs="Times New Roman"/>
        <w:b w:val="0"/>
        <w:bCs w:val="0"/>
        <w:i w:val="0"/>
        <w:iCs w:val="0"/>
        <w:sz w:val="24"/>
        <w:szCs w:val="24"/>
      </w:rPr>
    </w:lvl>
    <w:lvl w:ilvl="1" w:tentative="0">
      <w:start w:val="1"/>
      <w:numFmt w:val="decimal"/>
      <w:pStyle w:val="50"/>
      <w:suff w:val="nothing"/>
      <w:lvlText w:val="%1.%2　"/>
      <w:lvlJc w:val="left"/>
      <w:rPr>
        <w:rFonts w:hint="eastAsia" w:cs="Times New Roman" w:asciiTheme="minorEastAsia" w:hAnsiTheme="minorEastAsia" w:eastAsiaTheme="minorEastAsia"/>
        <w:b w:val="0"/>
        <w:bCs w:val="0"/>
        <w:i w:val="0"/>
        <w:iCs w:val="0"/>
        <w:caps w:val="0"/>
        <w:strike w:val="0"/>
        <w:dstrike w:val="0"/>
        <w:vanish w:val="0"/>
        <w:color w:val="000000"/>
        <w:spacing w:val="0"/>
        <w:kern w:val="0"/>
        <w:position w:val="0"/>
        <w:sz w:val="24"/>
        <w:szCs w:val="24"/>
        <w:u w:val="none"/>
        <w:vertAlign w:val="baseline"/>
      </w:rPr>
    </w:lvl>
    <w:lvl w:ilvl="2" w:tentative="0">
      <w:start w:val="1"/>
      <w:numFmt w:val="decimal"/>
      <w:pStyle w:val="55"/>
      <w:suff w:val="nothing"/>
      <w:lvlText w:val="%1.%2.%3　"/>
      <w:lvlJc w:val="left"/>
      <w:rPr>
        <w:rFonts w:hint="eastAsia" w:cs="Times New Roman" w:asciiTheme="minorEastAsia" w:hAnsiTheme="minorEastAsia" w:eastAsiaTheme="minorEastAsia"/>
        <w:b w:val="0"/>
        <w:bCs w:val="0"/>
        <w:i w:val="0"/>
        <w:iCs w:val="0"/>
        <w:sz w:val="21"/>
        <w:szCs w:val="21"/>
      </w:rPr>
    </w:lvl>
    <w:lvl w:ilvl="3" w:tentative="0">
      <w:start w:val="1"/>
      <w:numFmt w:val="decimal"/>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64"/>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65"/>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7">
    <w:nsid w:val="22827D5B"/>
    <w:multiLevelType w:val="multilevel"/>
    <w:tmpl w:val="22827D5B"/>
    <w:lvl w:ilvl="0" w:tentative="0">
      <w:start w:val="1"/>
      <w:numFmt w:val="none"/>
      <w:pStyle w:val="73"/>
      <w:suff w:val="nothing"/>
      <w:lvlText w:val="%1注："/>
      <w:lvlJc w:val="left"/>
      <w:pPr>
        <w:ind w:left="726" w:hanging="363"/>
      </w:pPr>
      <w:rPr>
        <w:rFonts w:hint="eastAsia" w:ascii="黑体" w:hAnsi="Times New Roman" w:eastAsia="黑体" w:cs="Times New Roman"/>
        <w:b w:val="0"/>
        <w:bCs w:val="0"/>
        <w:i w:val="0"/>
        <w:iCs w:val="0"/>
        <w:sz w:val="18"/>
        <w:szCs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8">
    <w:nsid w:val="2A8F7113"/>
    <w:multiLevelType w:val="multilevel"/>
    <w:tmpl w:val="2A8F7113"/>
    <w:lvl w:ilvl="0" w:tentative="0">
      <w:start w:val="1"/>
      <w:numFmt w:val="upperLetter"/>
      <w:pStyle w:val="107"/>
      <w:suff w:val="space"/>
      <w:lvlText w:val="%1"/>
      <w:lvlJc w:val="left"/>
      <w:pPr>
        <w:ind w:left="623" w:hanging="425"/>
      </w:pPr>
      <w:rPr>
        <w:rFonts w:hint="eastAsia" w:cs="Times New Roman"/>
      </w:rPr>
    </w:lvl>
    <w:lvl w:ilvl="1" w:tentative="0">
      <w:start w:val="1"/>
      <w:numFmt w:val="decimal"/>
      <w:pStyle w:val="108"/>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9">
    <w:nsid w:val="2C5917C3"/>
    <w:multiLevelType w:val="multilevel"/>
    <w:tmpl w:val="2C5917C3"/>
    <w:lvl w:ilvl="0" w:tentative="0">
      <w:start w:val="1"/>
      <w:numFmt w:val="none"/>
      <w:pStyle w:val="57"/>
      <w:suff w:val="nothing"/>
      <w:lvlText w:val="%1——"/>
      <w:lvlJc w:val="left"/>
      <w:pPr>
        <w:ind w:left="833" w:hanging="408"/>
      </w:pPr>
      <w:rPr>
        <w:rFonts w:hint="eastAsia" w:cs="Times New Roman"/>
      </w:rPr>
    </w:lvl>
    <w:lvl w:ilvl="1" w:tentative="0">
      <w:start w:val="1"/>
      <w:numFmt w:val="bullet"/>
      <w:pStyle w:val="58"/>
      <w:lvlText w:val=""/>
      <w:lvlJc w:val="left"/>
      <w:pPr>
        <w:tabs>
          <w:tab w:val="left" w:pos="760"/>
        </w:tabs>
        <w:ind w:left="1264" w:hanging="413"/>
      </w:pPr>
      <w:rPr>
        <w:rFonts w:hint="default" w:ascii="Symbol" w:hAnsi="Symbol"/>
        <w:color w:val="auto"/>
      </w:rPr>
    </w:lvl>
    <w:lvl w:ilvl="2" w:tentative="0">
      <w:start w:val="1"/>
      <w:numFmt w:val="bullet"/>
      <w:pStyle w:val="6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0">
    <w:nsid w:val="3D733618"/>
    <w:multiLevelType w:val="multilevel"/>
    <w:tmpl w:val="3D733618"/>
    <w:lvl w:ilvl="0" w:tentative="0">
      <w:start w:val="1"/>
      <w:numFmt w:val="decimal"/>
      <w:pStyle w:val="20"/>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1">
    <w:nsid w:val="44C50F90"/>
    <w:multiLevelType w:val="multilevel"/>
    <w:tmpl w:val="44C50F90"/>
    <w:lvl w:ilvl="0" w:tentative="0">
      <w:start w:val="1"/>
      <w:numFmt w:val="lowerLetter"/>
      <w:pStyle w:val="68"/>
      <w:lvlText w:val="%1)"/>
      <w:lvlJc w:val="left"/>
      <w:pPr>
        <w:tabs>
          <w:tab w:val="left" w:pos="840"/>
        </w:tabs>
        <w:ind w:left="839" w:hanging="419"/>
      </w:pPr>
      <w:rPr>
        <w:rFonts w:hint="eastAsia" w:ascii="宋体" w:eastAsia="宋体" w:cs="Times New Roman"/>
        <w:b w:val="0"/>
        <w:bCs w:val="0"/>
        <w:i w:val="0"/>
        <w:iCs w:val="0"/>
        <w:sz w:val="21"/>
        <w:szCs w:val="21"/>
      </w:rPr>
    </w:lvl>
    <w:lvl w:ilvl="1" w:tentative="0">
      <w:start w:val="1"/>
      <w:numFmt w:val="decimal"/>
      <w:pStyle w:val="63"/>
      <w:lvlText w:val="%2)"/>
      <w:lvlJc w:val="left"/>
      <w:pPr>
        <w:tabs>
          <w:tab w:val="left" w:pos="1260"/>
        </w:tabs>
        <w:ind w:left="1259" w:hanging="419"/>
      </w:pPr>
      <w:rPr>
        <w:rFonts w:hint="eastAsia" w:cs="Times New Roman"/>
      </w:rPr>
    </w:lvl>
    <w:lvl w:ilvl="2" w:tentative="0">
      <w:start w:val="1"/>
      <w:numFmt w:val="decimal"/>
      <w:lvlText w:val="(%3)"/>
      <w:lvlJc w:val="left"/>
      <w:pPr>
        <w:tabs>
          <w:tab w:val="left" w:pos="0"/>
        </w:tabs>
        <w:ind w:left="1679" w:hanging="420"/>
      </w:pPr>
      <w:rPr>
        <w:rFonts w:hint="eastAsia" w:ascii="宋体" w:eastAsia="宋体" w:cs="Times New Roman"/>
        <w:b w:val="0"/>
        <w:bCs w:val="0"/>
        <w:i w:val="0"/>
        <w:iCs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2">
    <w:nsid w:val="4B733A5F"/>
    <w:multiLevelType w:val="multilevel"/>
    <w:tmpl w:val="4B733A5F"/>
    <w:lvl w:ilvl="0" w:tentative="0">
      <w:start w:val="1"/>
      <w:numFmt w:val="decimal"/>
      <w:pStyle w:val="71"/>
      <w:suff w:val="nothing"/>
      <w:lvlText w:val="示例%1："/>
      <w:lvlJc w:val="left"/>
      <w:pPr>
        <w:ind w:firstLine="363"/>
      </w:pPr>
      <w:rPr>
        <w:rFonts w:hint="eastAsia" w:ascii="黑体" w:hAnsi="Times New Roman" w:eastAsia="黑体" w:cs="Times New Roman"/>
        <w:b w:val="0"/>
        <w:bCs w:val="0"/>
        <w:i w:val="0"/>
        <w:iCs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3">
    <w:nsid w:val="60B55DC2"/>
    <w:multiLevelType w:val="multilevel"/>
    <w:tmpl w:val="60B55DC2"/>
    <w:lvl w:ilvl="0" w:tentative="0">
      <w:start w:val="1"/>
      <w:numFmt w:val="upperLetter"/>
      <w:pStyle w:val="95"/>
      <w:lvlText w:val="%1"/>
      <w:lvlJc w:val="left"/>
      <w:pPr>
        <w:tabs>
          <w:tab w:val="left" w:pos="0"/>
        </w:tabs>
        <w:ind w:hanging="425"/>
      </w:pPr>
      <w:rPr>
        <w:rFonts w:hint="eastAsia" w:cs="Times New Roman"/>
      </w:rPr>
    </w:lvl>
    <w:lvl w:ilvl="1" w:tentative="0">
      <w:start w:val="1"/>
      <w:numFmt w:val="decimal"/>
      <w:pStyle w:val="96"/>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4">
    <w:nsid w:val="646260FA"/>
    <w:multiLevelType w:val="multilevel"/>
    <w:tmpl w:val="646260FA"/>
    <w:lvl w:ilvl="0" w:tentative="0">
      <w:start w:val="1"/>
      <w:numFmt w:val="decimal"/>
      <w:pStyle w:val="136"/>
      <w:suff w:val="nothing"/>
      <w:lvlText w:val="表%1　"/>
      <w:lvlJc w:val="left"/>
      <w:rPr>
        <w:rFonts w:hint="eastAsia" w:ascii="黑体" w:hAnsi="Times New Roman" w:eastAsia="黑体" w:cs="Times New Roman"/>
        <w:b w:val="0"/>
        <w:bCs w:val="0"/>
        <w:i w:val="0"/>
        <w:iCs w:val="0"/>
        <w:sz w:val="21"/>
        <w:szCs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5">
    <w:nsid w:val="657D3FBC"/>
    <w:multiLevelType w:val="multilevel"/>
    <w:tmpl w:val="657D3FBC"/>
    <w:lvl w:ilvl="0" w:tentative="0">
      <w:start w:val="1"/>
      <w:numFmt w:val="upperLetter"/>
      <w:pStyle w:val="93"/>
      <w:suff w:val="nothing"/>
      <w:lvlText w:val="附　录　%1"/>
      <w:lvlJc w:val="left"/>
      <w:rPr>
        <w:rFonts w:hint="eastAsia" w:ascii="黑体" w:hAnsi="Times New Roman" w:eastAsia="黑体" w:cs="Times New Roman"/>
        <w:b w:val="0"/>
        <w:bCs w:val="0"/>
        <w:i w:val="0"/>
        <w:iCs w:val="0"/>
        <w:spacing w:val="0"/>
        <w:w w:val="100"/>
        <w:sz w:val="28"/>
        <w:szCs w:val="28"/>
      </w:rPr>
    </w:lvl>
    <w:lvl w:ilvl="1" w:tentative="0">
      <w:start w:val="1"/>
      <w:numFmt w:val="decimal"/>
      <w:pStyle w:val="111"/>
      <w:suff w:val="nothing"/>
      <w:lvlText w:val="%1.%2　"/>
      <w:lvlJc w:val="left"/>
      <w:rPr>
        <w:rFonts w:hint="eastAsia" w:ascii="黑体" w:hAnsi="Times New Roman" w:eastAsia="黑体" w:cs="Times New Roman"/>
        <w:b w:val="0"/>
        <w:bCs w:val="0"/>
        <w:i w:val="0"/>
        <w:iCs w:val="0"/>
        <w:snapToGrid/>
        <w:spacing w:val="0"/>
        <w:w w:val="100"/>
        <w:kern w:val="21"/>
        <w:sz w:val="21"/>
        <w:szCs w:val="21"/>
      </w:rPr>
    </w:lvl>
    <w:lvl w:ilvl="2" w:tentative="0">
      <w:start w:val="1"/>
      <w:numFmt w:val="decimal"/>
      <w:pStyle w:val="112"/>
      <w:suff w:val="nothing"/>
      <w:lvlText w:val="%1.%2.%3　"/>
      <w:lvlJc w:val="left"/>
      <w:rPr>
        <w:rFonts w:hint="eastAsia" w:ascii="黑体" w:hAnsi="Times New Roman" w:eastAsia="黑体" w:cs="Times New Roman"/>
        <w:b w:val="0"/>
        <w:bCs w:val="0"/>
        <w:i w:val="0"/>
        <w:iCs w:val="0"/>
        <w:sz w:val="21"/>
        <w:szCs w:val="21"/>
      </w:rPr>
    </w:lvl>
    <w:lvl w:ilvl="3" w:tentative="0">
      <w:start w:val="1"/>
      <w:numFmt w:val="decimal"/>
      <w:pStyle w:val="97"/>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102"/>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105"/>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109"/>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6">
    <w:nsid w:val="6D6C07CD"/>
    <w:multiLevelType w:val="multilevel"/>
    <w:tmpl w:val="6D6C07CD"/>
    <w:lvl w:ilvl="0" w:tentative="0">
      <w:start w:val="1"/>
      <w:numFmt w:val="lowerLetter"/>
      <w:pStyle w:val="114"/>
      <w:lvlText w:val="%1)"/>
      <w:lvlJc w:val="left"/>
      <w:pPr>
        <w:tabs>
          <w:tab w:val="left" w:pos="839"/>
        </w:tabs>
        <w:ind w:left="839" w:hanging="419"/>
      </w:pPr>
      <w:rPr>
        <w:rFonts w:hint="eastAsia" w:ascii="宋体" w:eastAsia="宋体" w:cs="Times New Roman"/>
        <w:b w:val="0"/>
        <w:bCs w:val="0"/>
        <w:i w:val="0"/>
        <w:iCs w:val="0"/>
        <w:sz w:val="21"/>
        <w:szCs w:val="21"/>
      </w:rPr>
    </w:lvl>
    <w:lvl w:ilvl="1" w:tentative="0">
      <w:start w:val="1"/>
      <w:numFmt w:val="decimal"/>
      <w:pStyle w:val="104"/>
      <w:lvlText w:val="%2)"/>
      <w:lvlJc w:val="left"/>
      <w:pPr>
        <w:tabs>
          <w:tab w:val="left" w:pos="840"/>
        </w:tabs>
        <w:ind w:left="839" w:hanging="419"/>
      </w:pPr>
      <w:rPr>
        <w:rFonts w:hint="eastAsia" w:ascii="宋体" w:eastAsia="宋体" w:cs="Times New Roman"/>
        <w:b w:val="0"/>
        <w:bCs w:val="0"/>
        <w:i w:val="0"/>
        <w:iCs w:val="0"/>
        <w:sz w:val="21"/>
        <w:szCs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17">
    <w:nsid w:val="6DBF04F4"/>
    <w:multiLevelType w:val="multilevel"/>
    <w:tmpl w:val="6DBF04F4"/>
    <w:lvl w:ilvl="0" w:tentative="0">
      <w:start w:val="1"/>
      <w:numFmt w:val="none"/>
      <w:pStyle w:val="66"/>
      <w:suff w:val="nothing"/>
      <w:lvlText w:val="%1注："/>
      <w:lvlJc w:val="left"/>
      <w:pPr>
        <w:ind w:left="726" w:hanging="363"/>
      </w:pPr>
      <w:rPr>
        <w:rFonts w:hint="eastAsia" w:ascii="黑体" w:hAnsi="Times New Roman" w:eastAsia="黑体" w:cs="Times New Roman"/>
        <w:b w:val="0"/>
        <w:bCs w:val="0"/>
        <w:i w:val="0"/>
        <w:iCs w:val="0"/>
        <w:sz w:val="18"/>
        <w:szCs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 w:numId="19">
    <w:abstractNumId w:val="6"/>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dit="readOnly" w:enforcement="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I1YWRiOTNjNTBmYzYxMDQ2ZTMxM2VmOGNjMWUyMGIifQ=="/>
  </w:docVars>
  <w:rsids>
    <w:rsidRoot w:val="00035925"/>
    <w:rsid w:val="00000244"/>
    <w:rsid w:val="00000A45"/>
    <w:rsid w:val="0000185F"/>
    <w:rsid w:val="00001B55"/>
    <w:rsid w:val="000055D0"/>
    <w:rsid w:val="0000586F"/>
    <w:rsid w:val="00013D86"/>
    <w:rsid w:val="00013E02"/>
    <w:rsid w:val="0002143C"/>
    <w:rsid w:val="00025A65"/>
    <w:rsid w:val="00026C31"/>
    <w:rsid w:val="00027280"/>
    <w:rsid w:val="00031C4E"/>
    <w:rsid w:val="000320A7"/>
    <w:rsid w:val="00033252"/>
    <w:rsid w:val="00035312"/>
    <w:rsid w:val="00035925"/>
    <w:rsid w:val="000364F0"/>
    <w:rsid w:val="0004344C"/>
    <w:rsid w:val="00065425"/>
    <w:rsid w:val="00065CB5"/>
    <w:rsid w:val="00067CDF"/>
    <w:rsid w:val="00070ACE"/>
    <w:rsid w:val="0007135C"/>
    <w:rsid w:val="00074FBE"/>
    <w:rsid w:val="00083A09"/>
    <w:rsid w:val="00085D5F"/>
    <w:rsid w:val="00086FC4"/>
    <w:rsid w:val="0009005E"/>
    <w:rsid w:val="00092857"/>
    <w:rsid w:val="000A20A9"/>
    <w:rsid w:val="000A48B1"/>
    <w:rsid w:val="000B3143"/>
    <w:rsid w:val="000C314F"/>
    <w:rsid w:val="000C6B05"/>
    <w:rsid w:val="000C6DD6"/>
    <w:rsid w:val="000C73D4"/>
    <w:rsid w:val="000D114C"/>
    <w:rsid w:val="000D2CF3"/>
    <w:rsid w:val="000D3D4C"/>
    <w:rsid w:val="000D4F51"/>
    <w:rsid w:val="000D668C"/>
    <w:rsid w:val="000D70A3"/>
    <w:rsid w:val="000D718B"/>
    <w:rsid w:val="000D72D7"/>
    <w:rsid w:val="000E0C46"/>
    <w:rsid w:val="000E2E88"/>
    <w:rsid w:val="000F030C"/>
    <w:rsid w:val="000F129C"/>
    <w:rsid w:val="000F1E34"/>
    <w:rsid w:val="000F27FA"/>
    <w:rsid w:val="000F3930"/>
    <w:rsid w:val="001056DE"/>
    <w:rsid w:val="001124C0"/>
    <w:rsid w:val="001132AD"/>
    <w:rsid w:val="00116DFA"/>
    <w:rsid w:val="0012222F"/>
    <w:rsid w:val="001315E0"/>
    <w:rsid w:val="0013175F"/>
    <w:rsid w:val="00132A86"/>
    <w:rsid w:val="0013713A"/>
    <w:rsid w:val="001512B4"/>
    <w:rsid w:val="00160E9C"/>
    <w:rsid w:val="001620A5"/>
    <w:rsid w:val="00164E53"/>
    <w:rsid w:val="0016699D"/>
    <w:rsid w:val="00175159"/>
    <w:rsid w:val="00176208"/>
    <w:rsid w:val="0018211B"/>
    <w:rsid w:val="001840D3"/>
    <w:rsid w:val="001900F8"/>
    <w:rsid w:val="00191258"/>
    <w:rsid w:val="00192680"/>
    <w:rsid w:val="00193037"/>
    <w:rsid w:val="00193A2C"/>
    <w:rsid w:val="001A288E"/>
    <w:rsid w:val="001A5244"/>
    <w:rsid w:val="001B0426"/>
    <w:rsid w:val="001B19C4"/>
    <w:rsid w:val="001B5816"/>
    <w:rsid w:val="001B5A35"/>
    <w:rsid w:val="001B6DC2"/>
    <w:rsid w:val="001C13B3"/>
    <w:rsid w:val="001C149C"/>
    <w:rsid w:val="001C21AC"/>
    <w:rsid w:val="001C47BA"/>
    <w:rsid w:val="001C59EA"/>
    <w:rsid w:val="001D02BA"/>
    <w:rsid w:val="001D406C"/>
    <w:rsid w:val="001D41EE"/>
    <w:rsid w:val="001D4614"/>
    <w:rsid w:val="001D4D08"/>
    <w:rsid w:val="001E0380"/>
    <w:rsid w:val="001E13B1"/>
    <w:rsid w:val="001F3A19"/>
    <w:rsid w:val="00205E17"/>
    <w:rsid w:val="00207313"/>
    <w:rsid w:val="00214B1D"/>
    <w:rsid w:val="0022013C"/>
    <w:rsid w:val="002259E1"/>
    <w:rsid w:val="00232139"/>
    <w:rsid w:val="00232788"/>
    <w:rsid w:val="00233E2D"/>
    <w:rsid w:val="00234467"/>
    <w:rsid w:val="00237763"/>
    <w:rsid w:val="00237D8D"/>
    <w:rsid w:val="0024041C"/>
    <w:rsid w:val="00241DA2"/>
    <w:rsid w:val="00243890"/>
    <w:rsid w:val="00243D31"/>
    <w:rsid w:val="00246563"/>
    <w:rsid w:val="00247FEE"/>
    <w:rsid w:val="00250E7D"/>
    <w:rsid w:val="002554E3"/>
    <w:rsid w:val="002565D5"/>
    <w:rsid w:val="00256721"/>
    <w:rsid w:val="0025693B"/>
    <w:rsid w:val="00257A2A"/>
    <w:rsid w:val="002622C0"/>
    <w:rsid w:val="002778AE"/>
    <w:rsid w:val="0028269A"/>
    <w:rsid w:val="00282D9B"/>
    <w:rsid w:val="00283590"/>
    <w:rsid w:val="00286973"/>
    <w:rsid w:val="00294E70"/>
    <w:rsid w:val="0029506C"/>
    <w:rsid w:val="002969C8"/>
    <w:rsid w:val="002A1924"/>
    <w:rsid w:val="002A4E72"/>
    <w:rsid w:val="002A7420"/>
    <w:rsid w:val="002B0F12"/>
    <w:rsid w:val="002B1308"/>
    <w:rsid w:val="002B19DB"/>
    <w:rsid w:val="002B35AB"/>
    <w:rsid w:val="002B4554"/>
    <w:rsid w:val="002B4BF6"/>
    <w:rsid w:val="002C3D24"/>
    <w:rsid w:val="002C66B8"/>
    <w:rsid w:val="002C68E7"/>
    <w:rsid w:val="002C72D8"/>
    <w:rsid w:val="002D11FA"/>
    <w:rsid w:val="002D7D61"/>
    <w:rsid w:val="002E0DDF"/>
    <w:rsid w:val="002E2906"/>
    <w:rsid w:val="002E363B"/>
    <w:rsid w:val="002E5635"/>
    <w:rsid w:val="002E5B0A"/>
    <w:rsid w:val="002E64C3"/>
    <w:rsid w:val="002E6A2C"/>
    <w:rsid w:val="002F1D8C"/>
    <w:rsid w:val="002F21DA"/>
    <w:rsid w:val="0030163B"/>
    <w:rsid w:val="00301F39"/>
    <w:rsid w:val="00302CC2"/>
    <w:rsid w:val="003036AB"/>
    <w:rsid w:val="00303E98"/>
    <w:rsid w:val="00304FCD"/>
    <w:rsid w:val="00307993"/>
    <w:rsid w:val="003130BE"/>
    <w:rsid w:val="0032282A"/>
    <w:rsid w:val="003231B6"/>
    <w:rsid w:val="00325926"/>
    <w:rsid w:val="00327A8A"/>
    <w:rsid w:val="00336610"/>
    <w:rsid w:val="00343F73"/>
    <w:rsid w:val="00344D9C"/>
    <w:rsid w:val="00345060"/>
    <w:rsid w:val="003500DE"/>
    <w:rsid w:val="003510DF"/>
    <w:rsid w:val="0035323B"/>
    <w:rsid w:val="00353F48"/>
    <w:rsid w:val="00356184"/>
    <w:rsid w:val="00356890"/>
    <w:rsid w:val="0036036B"/>
    <w:rsid w:val="00360456"/>
    <w:rsid w:val="003609D2"/>
    <w:rsid w:val="00363F22"/>
    <w:rsid w:val="00375564"/>
    <w:rsid w:val="00375C57"/>
    <w:rsid w:val="003760C0"/>
    <w:rsid w:val="003767DE"/>
    <w:rsid w:val="00383191"/>
    <w:rsid w:val="00384C01"/>
    <w:rsid w:val="00386DED"/>
    <w:rsid w:val="003912E7"/>
    <w:rsid w:val="00393947"/>
    <w:rsid w:val="003940D4"/>
    <w:rsid w:val="003A2275"/>
    <w:rsid w:val="003A4C7A"/>
    <w:rsid w:val="003A664E"/>
    <w:rsid w:val="003A6A4F"/>
    <w:rsid w:val="003A6E5A"/>
    <w:rsid w:val="003A7088"/>
    <w:rsid w:val="003B00DF"/>
    <w:rsid w:val="003B1275"/>
    <w:rsid w:val="003B1778"/>
    <w:rsid w:val="003B44FC"/>
    <w:rsid w:val="003C022B"/>
    <w:rsid w:val="003C11CB"/>
    <w:rsid w:val="003C75F3"/>
    <w:rsid w:val="003C78A3"/>
    <w:rsid w:val="003D030D"/>
    <w:rsid w:val="003D3A92"/>
    <w:rsid w:val="003E1867"/>
    <w:rsid w:val="003E5729"/>
    <w:rsid w:val="003F2E2E"/>
    <w:rsid w:val="003F3FF0"/>
    <w:rsid w:val="003F4EE0"/>
    <w:rsid w:val="004008BD"/>
    <w:rsid w:val="00401608"/>
    <w:rsid w:val="00402153"/>
    <w:rsid w:val="00402FC1"/>
    <w:rsid w:val="00413C3F"/>
    <w:rsid w:val="004153D8"/>
    <w:rsid w:val="00416F9C"/>
    <w:rsid w:val="00422792"/>
    <w:rsid w:val="00425082"/>
    <w:rsid w:val="004263A6"/>
    <w:rsid w:val="00431DEB"/>
    <w:rsid w:val="00432E02"/>
    <w:rsid w:val="004344F0"/>
    <w:rsid w:val="004400B8"/>
    <w:rsid w:val="0044225F"/>
    <w:rsid w:val="00446B29"/>
    <w:rsid w:val="00452647"/>
    <w:rsid w:val="00453F9A"/>
    <w:rsid w:val="00456463"/>
    <w:rsid w:val="00465E25"/>
    <w:rsid w:val="00471E0F"/>
    <w:rsid w:val="00471E91"/>
    <w:rsid w:val="004723DF"/>
    <w:rsid w:val="00474675"/>
    <w:rsid w:val="0047470C"/>
    <w:rsid w:val="00475588"/>
    <w:rsid w:val="004932BC"/>
    <w:rsid w:val="004A0351"/>
    <w:rsid w:val="004A1AC8"/>
    <w:rsid w:val="004A2E76"/>
    <w:rsid w:val="004A2E80"/>
    <w:rsid w:val="004A35F9"/>
    <w:rsid w:val="004A3D47"/>
    <w:rsid w:val="004B24C1"/>
    <w:rsid w:val="004C09F2"/>
    <w:rsid w:val="004C292F"/>
    <w:rsid w:val="004C341F"/>
    <w:rsid w:val="004D077D"/>
    <w:rsid w:val="004D1FD5"/>
    <w:rsid w:val="004D38A0"/>
    <w:rsid w:val="004D51D3"/>
    <w:rsid w:val="004F31A0"/>
    <w:rsid w:val="00502637"/>
    <w:rsid w:val="00510280"/>
    <w:rsid w:val="00513D73"/>
    <w:rsid w:val="00514A43"/>
    <w:rsid w:val="00516F01"/>
    <w:rsid w:val="005174E5"/>
    <w:rsid w:val="00522393"/>
    <w:rsid w:val="00522620"/>
    <w:rsid w:val="00525656"/>
    <w:rsid w:val="005261D2"/>
    <w:rsid w:val="0053177E"/>
    <w:rsid w:val="00534C02"/>
    <w:rsid w:val="005353D7"/>
    <w:rsid w:val="00536033"/>
    <w:rsid w:val="00537A81"/>
    <w:rsid w:val="0054264B"/>
    <w:rsid w:val="00543786"/>
    <w:rsid w:val="005533D7"/>
    <w:rsid w:val="0055426E"/>
    <w:rsid w:val="005703DE"/>
    <w:rsid w:val="00570CC9"/>
    <w:rsid w:val="00577D46"/>
    <w:rsid w:val="00580008"/>
    <w:rsid w:val="00584342"/>
    <w:rsid w:val="0058464E"/>
    <w:rsid w:val="00592597"/>
    <w:rsid w:val="00593B48"/>
    <w:rsid w:val="005A01CB"/>
    <w:rsid w:val="005A154A"/>
    <w:rsid w:val="005A58FF"/>
    <w:rsid w:val="005A5EAF"/>
    <w:rsid w:val="005A64C0"/>
    <w:rsid w:val="005A6FDD"/>
    <w:rsid w:val="005B3C11"/>
    <w:rsid w:val="005B43FA"/>
    <w:rsid w:val="005B4649"/>
    <w:rsid w:val="005C1C28"/>
    <w:rsid w:val="005C4EF2"/>
    <w:rsid w:val="005C55E1"/>
    <w:rsid w:val="005C6DB5"/>
    <w:rsid w:val="005C77B4"/>
    <w:rsid w:val="005D01C0"/>
    <w:rsid w:val="005D0782"/>
    <w:rsid w:val="005D11ED"/>
    <w:rsid w:val="005E19E7"/>
    <w:rsid w:val="005E3503"/>
    <w:rsid w:val="005F038F"/>
    <w:rsid w:val="005F0D35"/>
    <w:rsid w:val="005F23BA"/>
    <w:rsid w:val="005F2D47"/>
    <w:rsid w:val="005F4DA6"/>
    <w:rsid w:val="005F6BD5"/>
    <w:rsid w:val="005F7006"/>
    <w:rsid w:val="005F7A87"/>
    <w:rsid w:val="0060147F"/>
    <w:rsid w:val="00601A2D"/>
    <w:rsid w:val="00601FF1"/>
    <w:rsid w:val="00605907"/>
    <w:rsid w:val="006133E2"/>
    <w:rsid w:val="00615707"/>
    <w:rsid w:val="0061716C"/>
    <w:rsid w:val="00621DA3"/>
    <w:rsid w:val="00622568"/>
    <w:rsid w:val="00623A61"/>
    <w:rsid w:val="006242BD"/>
    <w:rsid w:val="006243A1"/>
    <w:rsid w:val="00624943"/>
    <w:rsid w:val="006304F4"/>
    <w:rsid w:val="0063065D"/>
    <w:rsid w:val="006326E2"/>
    <w:rsid w:val="00632E56"/>
    <w:rsid w:val="00632F35"/>
    <w:rsid w:val="00635CBA"/>
    <w:rsid w:val="006369A8"/>
    <w:rsid w:val="0064026E"/>
    <w:rsid w:val="0064338B"/>
    <w:rsid w:val="00646542"/>
    <w:rsid w:val="006504F4"/>
    <w:rsid w:val="00652DB6"/>
    <w:rsid w:val="00654891"/>
    <w:rsid w:val="00654BC9"/>
    <w:rsid w:val="006552FD"/>
    <w:rsid w:val="006558C7"/>
    <w:rsid w:val="0066180F"/>
    <w:rsid w:val="00663AF3"/>
    <w:rsid w:val="00665AF2"/>
    <w:rsid w:val="00666B6C"/>
    <w:rsid w:val="00667F10"/>
    <w:rsid w:val="00671546"/>
    <w:rsid w:val="00674889"/>
    <w:rsid w:val="0068243E"/>
    <w:rsid w:val="00682682"/>
    <w:rsid w:val="00682702"/>
    <w:rsid w:val="00682CAE"/>
    <w:rsid w:val="00682EB9"/>
    <w:rsid w:val="00683555"/>
    <w:rsid w:val="0069177B"/>
    <w:rsid w:val="00692368"/>
    <w:rsid w:val="00693A29"/>
    <w:rsid w:val="00696C7E"/>
    <w:rsid w:val="006A0B58"/>
    <w:rsid w:val="006A2EBC"/>
    <w:rsid w:val="006A5EA0"/>
    <w:rsid w:val="006A783B"/>
    <w:rsid w:val="006A7B33"/>
    <w:rsid w:val="006B2D50"/>
    <w:rsid w:val="006B4E13"/>
    <w:rsid w:val="006B6B6B"/>
    <w:rsid w:val="006B75DD"/>
    <w:rsid w:val="006C0B4B"/>
    <w:rsid w:val="006C1E98"/>
    <w:rsid w:val="006C3315"/>
    <w:rsid w:val="006C67E0"/>
    <w:rsid w:val="006C7ABA"/>
    <w:rsid w:val="006C7BAE"/>
    <w:rsid w:val="006C7FD1"/>
    <w:rsid w:val="006D0D60"/>
    <w:rsid w:val="006D1006"/>
    <w:rsid w:val="006D1122"/>
    <w:rsid w:val="006D3C00"/>
    <w:rsid w:val="006D6CF4"/>
    <w:rsid w:val="006E0636"/>
    <w:rsid w:val="006E11ED"/>
    <w:rsid w:val="006E128D"/>
    <w:rsid w:val="006E3675"/>
    <w:rsid w:val="006E4A7F"/>
    <w:rsid w:val="006E5850"/>
    <w:rsid w:val="0070157F"/>
    <w:rsid w:val="00704DF6"/>
    <w:rsid w:val="0070651C"/>
    <w:rsid w:val="007132A3"/>
    <w:rsid w:val="00714C04"/>
    <w:rsid w:val="00716421"/>
    <w:rsid w:val="00724EFB"/>
    <w:rsid w:val="007276A8"/>
    <w:rsid w:val="00735ABF"/>
    <w:rsid w:val="0074096C"/>
    <w:rsid w:val="007419C3"/>
    <w:rsid w:val="00744F22"/>
    <w:rsid w:val="007467A7"/>
    <w:rsid w:val="007469DD"/>
    <w:rsid w:val="0074741B"/>
    <w:rsid w:val="0074759E"/>
    <w:rsid w:val="007478EA"/>
    <w:rsid w:val="007506FE"/>
    <w:rsid w:val="007535C9"/>
    <w:rsid w:val="0075415C"/>
    <w:rsid w:val="0075606D"/>
    <w:rsid w:val="00763502"/>
    <w:rsid w:val="00765789"/>
    <w:rsid w:val="00773836"/>
    <w:rsid w:val="00775D11"/>
    <w:rsid w:val="007913AB"/>
    <w:rsid w:val="007914F7"/>
    <w:rsid w:val="00795E86"/>
    <w:rsid w:val="00795EDE"/>
    <w:rsid w:val="007A1FA3"/>
    <w:rsid w:val="007A3826"/>
    <w:rsid w:val="007A40F4"/>
    <w:rsid w:val="007B1625"/>
    <w:rsid w:val="007B706E"/>
    <w:rsid w:val="007B71EB"/>
    <w:rsid w:val="007C6205"/>
    <w:rsid w:val="007C686A"/>
    <w:rsid w:val="007C728E"/>
    <w:rsid w:val="007D0307"/>
    <w:rsid w:val="007D2C53"/>
    <w:rsid w:val="007D3D60"/>
    <w:rsid w:val="007E1980"/>
    <w:rsid w:val="007E1BD2"/>
    <w:rsid w:val="007E2366"/>
    <w:rsid w:val="007E4B76"/>
    <w:rsid w:val="007E5BC7"/>
    <w:rsid w:val="007E5EA8"/>
    <w:rsid w:val="007F0CF1"/>
    <w:rsid w:val="007F12A5"/>
    <w:rsid w:val="007F4CF1"/>
    <w:rsid w:val="007F758D"/>
    <w:rsid w:val="007F7D52"/>
    <w:rsid w:val="0080654C"/>
    <w:rsid w:val="008071C6"/>
    <w:rsid w:val="008126FA"/>
    <w:rsid w:val="00817A00"/>
    <w:rsid w:val="008213D9"/>
    <w:rsid w:val="00822C5E"/>
    <w:rsid w:val="00826C7F"/>
    <w:rsid w:val="00835DB3"/>
    <w:rsid w:val="0083617B"/>
    <w:rsid w:val="008371BD"/>
    <w:rsid w:val="008471A9"/>
    <w:rsid w:val="00847BB1"/>
    <w:rsid w:val="008504A8"/>
    <w:rsid w:val="008506DD"/>
    <w:rsid w:val="0085282E"/>
    <w:rsid w:val="00853809"/>
    <w:rsid w:val="008577F2"/>
    <w:rsid w:val="008657B7"/>
    <w:rsid w:val="00870D56"/>
    <w:rsid w:val="0087198C"/>
    <w:rsid w:val="00872C1F"/>
    <w:rsid w:val="00873B42"/>
    <w:rsid w:val="00876C19"/>
    <w:rsid w:val="00877D35"/>
    <w:rsid w:val="008856D8"/>
    <w:rsid w:val="00891375"/>
    <w:rsid w:val="00892E82"/>
    <w:rsid w:val="00894AAB"/>
    <w:rsid w:val="008B27CD"/>
    <w:rsid w:val="008B722D"/>
    <w:rsid w:val="008C1B58"/>
    <w:rsid w:val="008C354F"/>
    <w:rsid w:val="008C39AE"/>
    <w:rsid w:val="008C590D"/>
    <w:rsid w:val="008D5E22"/>
    <w:rsid w:val="008D6E7A"/>
    <w:rsid w:val="008D7514"/>
    <w:rsid w:val="008E031B"/>
    <w:rsid w:val="008E6A21"/>
    <w:rsid w:val="008E7029"/>
    <w:rsid w:val="008E7EF6"/>
    <w:rsid w:val="008F1F98"/>
    <w:rsid w:val="008F2C69"/>
    <w:rsid w:val="008F54D5"/>
    <w:rsid w:val="008F6758"/>
    <w:rsid w:val="009040DD"/>
    <w:rsid w:val="00905B47"/>
    <w:rsid w:val="0091331C"/>
    <w:rsid w:val="0092606E"/>
    <w:rsid w:val="00926B4B"/>
    <w:rsid w:val="009279DE"/>
    <w:rsid w:val="00930116"/>
    <w:rsid w:val="00934C7F"/>
    <w:rsid w:val="00936935"/>
    <w:rsid w:val="00941736"/>
    <w:rsid w:val="0094212C"/>
    <w:rsid w:val="00951A81"/>
    <w:rsid w:val="00954689"/>
    <w:rsid w:val="009617C9"/>
    <w:rsid w:val="00961C93"/>
    <w:rsid w:val="0096414A"/>
    <w:rsid w:val="00965324"/>
    <w:rsid w:val="00970586"/>
    <w:rsid w:val="0097091E"/>
    <w:rsid w:val="00974875"/>
    <w:rsid w:val="009760D3"/>
    <w:rsid w:val="00977132"/>
    <w:rsid w:val="009776B4"/>
    <w:rsid w:val="00981A4B"/>
    <w:rsid w:val="00982501"/>
    <w:rsid w:val="00982F94"/>
    <w:rsid w:val="00983677"/>
    <w:rsid w:val="009877D3"/>
    <w:rsid w:val="00994304"/>
    <w:rsid w:val="00994E8F"/>
    <w:rsid w:val="0099506F"/>
    <w:rsid w:val="009951DC"/>
    <w:rsid w:val="009959BB"/>
    <w:rsid w:val="00997158"/>
    <w:rsid w:val="009A3A7C"/>
    <w:rsid w:val="009A66F7"/>
    <w:rsid w:val="009B2ADB"/>
    <w:rsid w:val="009B603A"/>
    <w:rsid w:val="009C2D0E"/>
    <w:rsid w:val="009C3DAC"/>
    <w:rsid w:val="009C42E0"/>
    <w:rsid w:val="009C6034"/>
    <w:rsid w:val="009D34BA"/>
    <w:rsid w:val="009D412A"/>
    <w:rsid w:val="009D5362"/>
    <w:rsid w:val="009E1415"/>
    <w:rsid w:val="009E6116"/>
    <w:rsid w:val="009E7851"/>
    <w:rsid w:val="009F1373"/>
    <w:rsid w:val="00A02E43"/>
    <w:rsid w:val="00A04518"/>
    <w:rsid w:val="00A065F9"/>
    <w:rsid w:val="00A06EC0"/>
    <w:rsid w:val="00A07F34"/>
    <w:rsid w:val="00A130B2"/>
    <w:rsid w:val="00A14BE8"/>
    <w:rsid w:val="00A22154"/>
    <w:rsid w:val="00A252D7"/>
    <w:rsid w:val="00A25C38"/>
    <w:rsid w:val="00A36340"/>
    <w:rsid w:val="00A36BBE"/>
    <w:rsid w:val="00A4307A"/>
    <w:rsid w:val="00A47EBB"/>
    <w:rsid w:val="00A51CDD"/>
    <w:rsid w:val="00A61CCA"/>
    <w:rsid w:val="00A61D50"/>
    <w:rsid w:val="00A6334F"/>
    <w:rsid w:val="00A6730D"/>
    <w:rsid w:val="00A71625"/>
    <w:rsid w:val="00A71B9B"/>
    <w:rsid w:val="00A751C7"/>
    <w:rsid w:val="00A856B0"/>
    <w:rsid w:val="00A85AA0"/>
    <w:rsid w:val="00A87844"/>
    <w:rsid w:val="00A93ACC"/>
    <w:rsid w:val="00AA038C"/>
    <w:rsid w:val="00AA7A09"/>
    <w:rsid w:val="00AB3B50"/>
    <w:rsid w:val="00AC012C"/>
    <w:rsid w:val="00AC05B1"/>
    <w:rsid w:val="00AC400F"/>
    <w:rsid w:val="00AC559E"/>
    <w:rsid w:val="00AC5EFD"/>
    <w:rsid w:val="00AC76E7"/>
    <w:rsid w:val="00AC772E"/>
    <w:rsid w:val="00AC7C3D"/>
    <w:rsid w:val="00AD356C"/>
    <w:rsid w:val="00AD68B5"/>
    <w:rsid w:val="00AE2914"/>
    <w:rsid w:val="00AE42EF"/>
    <w:rsid w:val="00AE6D15"/>
    <w:rsid w:val="00AF06BA"/>
    <w:rsid w:val="00AF4DD8"/>
    <w:rsid w:val="00B04182"/>
    <w:rsid w:val="00B07AE3"/>
    <w:rsid w:val="00B11430"/>
    <w:rsid w:val="00B1296D"/>
    <w:rsid w:val="00B1570E"/>
    <w:rsid w:val="00B2242C"/>
    <w:rsid w:val="00B23B02"/>
    <w:rsid w:val="00B25B24"/>
    <w:rsid w:val="00B353EB"/>
    <w:rsid w:val="00B370FA"/>
    <w:rsid w:val="00B4311C"/>
    <w:rsid w:val="00B439C4"/>
    <w:rsid w:val="00B4535E"/>
    <w:rsid w:val="00B46051"/>
    <w:rsid w:val="00B52A8C"/>
    <w:rsid w:val="00B574D1"/>
    <w:rsid w:val="00B62260"/>
    <w:rsid w:val="00B636A8"/>
    <w:rsid w:val="00B66376"/>
    <w:rsid w:val="00B665C6"/>
    <w:rsid w:val="00B7041D"/>
    <w:rsid w:val="00B805AF"/>
    <w:rsid w:val="00B849D7"/>
    <w:rsid w:val="00B8539D"/>
    <w:rsid w:val="00B869EC"/>
    <w:rsid w:val="00B90D44"/>
    <w:rsid w:val="00B9397A"/>
    <w:rsid w:val="00B9633D"/>
    <w:rsid w:val="00BA0787"/>
    <w:rsid w:val="00BA0B75"/>
    <w:rsid w:val="00BA2EBE"/>
    <w:rsid w:val="00BB0F28"/>
    <w:rsid w:val="00BB458A"/>
    <w:rsid w:val="00BC120A"/>
    <w:rsid w:val="00BD00AD"/>
    <w:rsid w:val="00BD00D3"/>
    <w:rsid w:val="00BD1659"/>
    <w:rsid w:val="00BD2326"/>
    <w:rsid w:val="00BD3AA9"/>
    <w:rsid w:val="00BD4A18"/>
    <w:rsid w:val="00BD6DB2"/>
    <w:rsid w:val="00BE11CF"/>
    <w:rsid w:val="00BE21AB"/>
    <w:rsid w:val="00BE55CB"/>
    <w:rsid w:val="00BF0507"/>
    <w:rsid w:val="00BF5FA8"/>
    <w:rsid w:val="00BF617A"/>
    <w:rsid w:val="00BF6FCE"/>
    <w:rsid w:val="00C00081"/>
    <w:rsid w:val="00C018C8"/>
    <w:rsid w:val="00C0379D"/>
    <w:rsid w:val="00C03931"/>
    <w:rsid w:val="00C04F41"/>
    <w:rsid w:val="00C05962"/>
    <w:rsid w:val="00C05FE3"/>
    <w:rsid w:val="00C076C7"/>
    <w:rsid w:val="00C11D22"/>
    <w:rsid w:val="00C21223"/>
    <w:rsid w:val="00C2136D"/>
    <w:rsid w:val="00C214EE"/>
    <w:rsid w:val="00C2314B"/>
    <w:rsid w:val="00C23530"/>
    <w:rsid w:val="00C2439B"/>
    <w:rsid w:val="00C24971"/>
    <w:rsid w:val="00C26BE5"/>
    <w:rsid w:val="00C26E4D"/>
    <w:rsid w:val="00C27909"/>
    <w:rsid w:val="00C27B03"/>
    <w:rsid w:val="00C314E1"/>
    <w:rsid w:val="00C34397"/>
    <w:rsid w:val="00C350E4"/>
    <w:rsid w:val="00C3788B"/>
    <w:rsid w:val="00C4095D"/>
    <w:rsid w:val="00C5373C"/>
    <w:rsid w:val="00C5394D"/>
    <w:rsid w:val="00C601D2"/>
    <w:rsid w:val="00C65BCC"/>
    <w:rsid w:val="00C66970"/>
    <w:rsid w:val="00C707C8"/>
    <w:rsid w:val="00C72610"/>
    <w:rsid w:val="00C7459B"/>
    <w:rsid w:val="00C83152"/>
    <w:rsid w:val="00C8691C"/>
    <w:rsid w:val="00CA168A"/>
    <w:rsid w:val="00CA357E"/>
    <w:rsid w:val="00CA44F9"/>
    <w:rsid w:val="00CA4A69"/>
    <w:rsid w:val="00CA6ED2"/>
    <w:rsid w:val="00CC3E0C"/>
    <w:rsid w:val="00CC58D3"/>
    <w:rsid w:val="00CC784D"/>
    <w:rsid w:val="00CC7CE0"/>
    <w:rsid w:val="00CC7F56"/>
    <w:rsid w:val="00CE507A"/>
    <w:rsid w:val="00CF12F7"/>
    <w:rsid w:val="00CF4008"/>
    <w:rsid w:val="00D0337B"/>
    <w:rsid w:val="00D04605"/>
    <w:rsid w:val="00D079B2"/>
    <w:rsid w:val="00D114E9"/>
    <w:rsid w:val="00D17887"/>
    <w:rsid w:val="00D17A23"/>
    <w:rsid w:val="00D23EC2"/>
    <w:rsid w:val="00D34C2E"/>
    <w:rsid w:val="00D429C6"/>
    <w:rsid w:val="00D4326F"/>
    <w:rsid w:val="00D47748"/>
    <w:rsid w:val="00D54CC3"/>
    <w:rsid w:val="00D603B1"/>
    <w:rsid w:val="00D6041A"/>
    <w:rsid w:val="00D6216E"/>
    <w:rsid w:val="00D633EB"/>
    <w:rsid w:val="00D777D3"/>
    <w:rsid w:val="00D778D7"/>
    <w:rsid w:val="00D82FF7"/>
    <w:rsid w:val="00D847FE"/>
    <w:rsid w:val="00D868C5"/>
    <w:rsid w:val="00D93E6B"/>
    <w:rsid w:val="00D964EA"/>
    <w:rsid w:val="00D966D0"/>
    <w:rsid w:val="00DA0C59"/>
    <w:rsid w:val="00DA3991"/>
    <w:rsid w:val="00DB0990"/>
    <w:rsid w:val="00DB77BB"/>
    <w:rsid w:val="00DB7E6C"/>
    <w:rsid w:val="00DC05E5"/>
    <w:rsid w:val="00DD5A29"/>
    <w:rsid w:val="00DD5D9D"/>
    <w:rsid w:val="00DD766E"/>
    <w:rsid w:val="00DE2523"/>
    <w:rsid w:val="00DE257D"/>
    <w:rsid w:val="00DE35CB"/>
    <w:rsid w:val="00DF21E9"/>
    <w:rsid w:val="00DF6319"/>
    <w:rsid w:val="00E00F14"/>
    <w:rsid w:val="00E02124"/>
    <w:rsid w:val="00E0419E"/>
    <w:rsid w:val="00E06386"/>
    <w:rsid w:val="00E15496"/>
    <w:rsid w:val="00E20EF0"/>
    <w:rsid w:val="00E2199F"/>
    <w:rsid w:val="00E21B13"/>
    <w:rsid w:val="00E22E13"/>
    <w:rsid w:val="00E23E6C"/>
    <w:rsid w:val="00E24EB4"/>
    <w:rsid w:val="00E320ED"/>
    <w:rsid w:val="00E339AB"/>
    <w:rsid w:val="00E33AFB"/>
    <w:rsid w:val="00E34218"/>
    <w:rsid w:val="00E403C2"/>
    <w:rsid w:val="00E41E2F"/>
    <w:rsid w:val="00E44BD2"/>
    <w:rsid w:val="00E45F16"/>
    <w:rsid w:val="00E46282"/>
    <w:rsid w:val="00E512FF"/>
    <w:rsid w:val="00E5216E"/>
    <w:rsid w:val="00E57292"/>
    <w:rsid w:val="00E7798E"/>
    <w:rsid w:val="00E80206"/>
    <w:rsid w:val="00E82344"/>
    <w:rsid w:val="00E84120"/>
    <w:rsid w:val="00E84C82"/>
    <w:rsid w:val="00E84D64"/>
    <w:rsid w:val="00E850EB"/>
    <w:rsid w:val="00E85EB1"/>
    <w:rsid w:val="00E87408"/>
    <w:rsid w:val="00E914C4"/>
    <w:rsid w:val="00E934F5"/>
    <w:rsid w:val="00E96961"/>
    <w:rsid w:val="00EA34C8"/>
    <w:rsid w:val="00EA3F2E"/>
    <w:rsid w:val="00EA72EC"/>
    <w:rsid w:val="00EB11CB"/>
    <w:rsid w:val="00EB275A"/>
    <w:rsid w:val="00EB6231"/>
    <w:rsid w:val="00EB786A"/>
    <w:rsid w:val="00EC1578"/>
    <w:rsid w:val="00EC1C72"/>
    <w:rsid w:val="00EC3CC9"/>
    <w:rsid w:val="00EC5D12"/>
    <w:rsid w:val="00EC680A"/>
    <w:rsid w:val="00ED67E2"/>
    <w:rsid w:val="00ED76CA"/>
    <w:rsid w:val="00EE2BED"/>
    <w:rsid w:val="00EE374B"/>
    <w:rsid w:val="00EF2137"/>
    <w:rsid w:val="00EF5D96"/>
    <w:rsid w:val="00EF7EDC"/>
    <w:rsid w:val="00F03523"/>
    <w:rsid w:val="00F051B6"/>
    <w:rsid w:val="00F11BB5"/>
    <w:rsid w:val="00F1417B"/>
    <w:rsid w:val="00F23ECF"/>
    <w:rsid w:val="00F24020"/>
    <w:rsid w:val="00F34B99"/>
    <w:rsid w:val="00F375D9"/>
    <w:rsid w:val="00F41A9B"/>
    <w:rsid w:val="00F42364"/>
    <w:rsid w:val="00F47B3B"/>
    <w:rsid w:val="00F52DAB"/>
    <w:rsid w:val="00F543F0"/>
    <w:rsid w:val="00F545EF"/>
    <w:rsid w:val="00F72F42"/>
    <w:rsid w:val="00F73BC0"/>
    <w:rsid w:val="00F7455B"/>
    <w:rsid w:val="00F77036"/>
    <w:rsid w:val="00F81D29"/>
    <w:rsid w:val="00F81E5E"/>
    <w:rsid w:val="00F91C4D"/>
    <w:rsid w:val="00F92FD9"/>
    <w:rsid w:val="00F94B76"/>
    <w:rsid w:val="00FA6684"/>
    <w:rsid w:val="00FA6724"/>
    <w:rsid w:val="00FA731E"/>
    <w:rsid w:val="00FA7DA0"/>
    <w:rsid w:val="00FB2B38"/>
    <w:rsid w:val="00FC23AC"/>
    <w:rsid w:val="00FC3EBC"/>
    <w:rsid w:val="00FC6358"/>
    <w:rsid w:val="00FD01CF"/>
    <w:rsid w:val="00FD320D"/>
    <w:rsid w:val="00FE1438"/>
    <w:rsid w:val="00FE1D16"/>
    <w:rsid w:val="00FE23DE"/>
    <w:rsid w:val="00FE31B4"/>
    <w:rsid w:val="00FE56DF"/>
    <w:rsid w:val="00FF00D6"/>
    <w:rsid w:val="00FF6ABC"/>
    <w:rsid w:val="05050065"/>
    <w:rsid w:val="282B328F"/>
    <w:rsid w:val="4CA258A0"/>
    <w:rsid w:val="5230571B"/>
    <w:rsid w:val="5FCC4882"/>
    <w:rsid w:val="69385511"/>
    <w:rsid w:val="7DFB15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0" w:name="index 1"/>
    <w:lsdException w:qFormat="1" w:unhideWhenUsed="0" w:uiPriority="0" w:name="index 2"/>
    <w:lsdException w:qFormat="1" w:unhideWhenUsed="0" w:uiPriority="0" w:name="index 3"/>
    <w:lsdException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qFormat="1" w:unhideWhenUsed="0" w:uiPriority="0" w:semiHidden="0" w:name="Normal Indent" w:locked="1"/>
    <w:lsdException w:unhideWhenUsed="0" w:uiPriority="0" w:name="footnote text"/>
    <w:lsdException w:unhideWhenUsed="0" w:uiPriority="0" w:semiHidden="0" w:name="annotation text" w:locked="1"/>
    <w:lsdException w:unhideWhenUsed="0" w:uiPriority="0" w:semiHidden="0" w:name="header"/>
    <w:lsdException w:qFormat="1" w:unhideWhenUsed="0" w:uiPriority="99" w:semiHidden="0" w:name="footer"/>
    <w:lsdException w:unhideWhenUsed="0" w:uiPriority="0" w:name="index heading"/>
    <w:lsdException w:qFormat="1" w:unhideWhenUsed="0"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name="footnote reference"/>
    <w:lsdException w:unhideWhenUsed="0" w:uiPriority="0" w:semiHidden="0" w:name="annotation reference" w:locked="1"/>
    <w:lsdException w:unhideWhenUsed="0" w:uiPriority="0" w:semiHidden="0" w:name="line number" w:locked="1"/>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nhideWhenUsed="0" w:uiPriority="0" w:semiHidden="0" w:name="E-mail Signature" w:locked="1"/>
    <w:lsdException w:qFormat="1" w:uiPriority="99"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unhideWhenUsed="0" w:uiPriority="0"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ocked="1"/>
    <w:lsdException w:qFormat="1" w:unhideWhenUsed="0" w:uiPriority="0" w:semiHidden="0" w:name="Table Grid"/>
    <w:lsdException w:uiPriority="0" w:name="Table Theme" w:locked="1"/>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Calibri"/>
      <w:kern w:val="2"/>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index 8"/>
    <w:basedOn w:val="1"/>
    <w:next w:val="1"/>
    <w:semiHidden/>
    <w:qFormat/>
    <w:uiPriority w:val="0"/>
    <w:pPr>
      <w:widowControl w:val="0"/>
      <w:ind w:left="1680" w:hanging="210"/>
      <w:jc w:val="left"/>
    </w:pPr>
    <w:rPr>
      <w:sz w:val="20"/>
      <w:szCs w:val="20"/>
    </w:rPr>
  </w:style>
  <w:style w:type="paragraph" w:styleId="3">
    <w:name w:val="Normal Indent"/>
    <w:basedOn w:val="1"/>
    <w:autoRedefine/>
    <w:qFormat/>
    <w:locked/>
    <w:uiPriority w:val="0"/>
    <w:pPr>
      <w:widowControl w:val="0"/>
      <w:ind w:firstLine="420"/>
    </w:pPr>
    <w:rPr>
      <w:rFonts w:ascii="Times New Roman" w:hAnsi="Times New Roman" w:cs="Times New Roman"/>
      <w:szCs w:val="20"/>
    </w:rPr>
  </w:style>
  <w:style w:type="paragraph" w:styleId="4">
    <w:name w:val="caption"/>
    <w:basedOn w:val="1"/>
    <w:next w:val="1"/>
    <w:qFormat/>
    <w:uiPriority w:val="0"/>
    <w:pPr>
      <w:widowControl w:val="0"/>
      <w:spacing w:before="152" w:after="160"/>
    </w:pPr>
    <w:rPr>
      <w:rFonts w:ascii="Arial" w:hAnsi="Arial" w:eastAsia="黑体" w:cs="Arial"/>
      <w:sz w:val="20"/>
      <w:szCs w:val="20"/>
    </w:rPr>
  </w:style>
  <w:style w:type="paragraph" w:styleId="5">
    <w:name w:val="index 5"/>
    <w:basedOn w:val="1"/>
    <w:next w:val="1"/>
    <w:semiHidden/>
    <w:qFormat/>
    <w:uiPriority w:val="0"/>
    <w:pPr>
      <w:widowControl w:val="0"/>
      <w:ind w:left="1050" w:hanging="210"/>
      <w:jc w:val="left"/>
    </w:pPr>
    <w:rPr>
      <w:sz w:val="20"/>
      <w:szCs w:val="20"/>
    </w:rPr>
  </w:style>
  <w:style w:type="paragraph" w:styleId="6">
    <w:name w:val="Document Map"/>
    <w:basedOn w:val="1"/>
    <w:link w:val="33"/>
    <w:semiHidden/>
    <w:qFormat/>
    <w:uiPriority w:val="0"/>
    <w:pPr>
      <w:widowControl w:val="0"/>
      <w:shd w:val="clear" w:color="auto" w:fill="000080"/>
    </w:pPr>
    <w:rPr>
      <w:rFonts w:ascii="Times New Roman" w:hAnsi="Times New Roman" w:cs="Times New Roman"/>
      <w:kern w:val="0"/>
      <w:sz w:val="2"/>
      <w:szCs w:val="20"/>
    </w:rPr>
  </w:style>
  <w:style w:type="paragraph" w:styleId="7">
    <w:name w:val="index 6"/>
    <w:basedOn w:val="1"/>
    <w:next w:val="1"/>
    <w:semiHidden/>
    <w:qFormat/>
    <w:uiPriority w:val="0"/>
    <w:pPr>
      <w:widowControl w:val="0"/>
      <w:ind w:left="1260" w:hanging="210"/>
      <w:jc w:val="left"/>
    </w:pPr>
    <w:rPr>
      <w:sz w:val="20"/>
      <w:szCs w:val="20"/>
    </w:rPr>
  </w:style>
  <w:style w:type="paragraph" w:styleId="8">
    <w:name w:val="Body Text"/>
    <w:basedOn w:val="1"/>
    <w:link w:val="34"/>
    <w:qFormat/>
    <w:uiPriority w:val="0"/>
    <w:pPr>
      <w:widowControl w:val="0"/>
      <w:autoSpaceDE w:val="0"/>
      <w:autoSpaceDN w:val="0"/>
      <w:jc w:val="left"/>
    </w:pPr>
    <w:rPr>
      <w:rFonts w:cs="Times New Roman"/>
      <w:kern w:val="0"/>
    </w:rPr>
  </w:style>
  <w:style w:type="paragraph" w:styleId="9">
    <w:name w:val="index 4"/>
    <w:basedOn w:val="1"/>
    <w:next w:val="1"/>
    <w:semiHidden/>
    <w:uiPriority w:val="0"/>
    <w:pPr>
      <w:widowControl w:val="0"/>
      <w:ind w:left="840" w:hanging="210"/>
      <w:jc w:val="left"/>
    </w:pPr>
    <w:rPr>
      <w:sz w:val="20"/>
      <w:szCs w:val="20"/>
    </w:rPr>
  </w:style>
  <w:style w:type="paragraph" w:styleId="10">
    <w:name w:val="Plain Text"/>
    <w:basedOn w:val="1"/>
    <w:link w:val="37"/>
    <w:qFormat/>
    <w:uiPriority w:val="0"/>
    <w:pPr>
      <w:widowControl w:val="0"/>
    </w:pPr>
    <w:rPr>
      <w:rFonts w:ascii="宋体" w:hAnsi="Courier New" w:cs="Times New Roman"/>
      <w:kern w:val="0"/>
    </w:rPr>
  </w:style>
  <w:style w:type="paragraph" w:styleId="11">
    <w:name w:val="index 3"/>
    <w:basedOn w:val="1"/>
    <w:next w:val="1"/>
    <w:semiHidden/>
    <w:qFormat/>
    <w:uiPriority w:val="0"/>
    <w:pPr>
      <w:widowControl w:val="0"/>
      <w:ind w:left="630" w:hanging="210"/>
      <w:jc w:val="left"/>
    </w:pPr>
    <w:rPr>
      <w:sz w:val="20"/>
      <w:szCs w:val="20"/>
    </w:rPr>
  </w:style>
  <w:style w:type="paragraph" w:styleId="12">
    <w:name w:val="Date"/>
    <w:basedOn w:val="1"/>
    <w:next w:val="1"/>
    <w:link w:val="149"/>
    <w:locked/>
    <w:uiPriority w:val="0"/>
    <w:pPr>
      <w:ind w:left="100" w:leftChars="2500"/>
    </w:pPr>
  </w:style>
  <w:style w:type="paragraph" w:styleId="13">
    <w:name w:val="endnote text"/>
    <w:basedOn w:val="1"/>
    <w:link w:val="39"/>
    <w:semiHidden/>
    <w:qFormat/>
    <w:uiPriority w:val="0"/>
    <w:pPr>
      <w:widowControl w:val="0"/>
      <w:snapToGrid w:val="0"/>
      <w:jc w:val="left"/>
    </w:pPr>
    <w:rPr>
      <w:rFonts w:ascii="Times New Roman" w:hAnsi="Times New Roman" w:cs="Times New Roman"/>
      <w:kern w:val="0"/>
    </w:rPr>
  </w:style>
  <w:style w:type="paragraph" w:styleId="14">
    <w:name w:val="Balloon Text"/>
    <w:basedOn w:val="1"/>
    <w:link w:val="151"/>
    <w:qFormat/>
    <w:locked/>
    <w:uiPriority w:val="0"/>
    <w:rPr>
      <w:sz w:val="18"/>
      <w:szCs w:val="18"/>
    </w:rPr>
  </w:style>
  <w:style w:type="paragraph" w:styleId="15">
    <w:name w:val="footer"/>
    <w:basedOn w:val="1"/>
    <w:link w:val="40"/>
    <w:qFormat/>
    <w:uiPriority w:val="99"/>
    <w:pPr>
      <w:widowControl w:val="0"/>
      <w:snapToGrid w:val="0"/>
      <w:ind w:right="210" w:rightChars="100"/>
      <w:jc w:val="right"/>
    </w:pPr>
    <w:rPr>
      <w:rFonts w:ascii="Times New Roman" w:hAnsi="Times New Roman" w:cs="Times New Roman"/>
      <w:kern w:val="0"/>
      <w:sz w:val="18"/>
      <w:szCs w:val="18"/>
    </w:rPr>
  </w:style>
  <w:style w:type="paragraph" w:styleId="16">
    <w:name w:val="header"/>
    <w:basedOn w:val="1"/>
    <w:link w:val="41"/>
    <w:uiPriority w:val="0"/>
    <w:pPr>
      <w:widowControl w:val="0"/>
      <w:snapToGrid w:val="0"/>
      <w:jc w:val="left"/>
    </w:pPr>
    <w:rPr>
      <w:rFonts w:ascii="Times New Roman" w:hAnsi="Times New Roman" w:cs="Times New Roman"/>
      <w:kern w:val="0"/>
      <w:sz w:val="18"/>
      <w:szCs w:val="18"/>
    </w:rPr>
  </w:style>
  <w:style w:type="paragraph" w:styleId="17">
    <w:name w:val="index heading"/>
    <w:basedOn w:val="1"/>
    <w:next w:val="18"/>
    <w:semiHidden/>
    <w:uiPriority w:val="0"/>
    <w:pPr>
      <w:widowControl w:val="0"/>
      <w:spacing w:before="120" w:after="120"/>
      <w:jc w:val="center"/>
    </w:pPr>
    <w:rPr>
      <w:b/>
      <w:bCs/>
    </w:rPr>
  </w:style>
  <w:style w:type="paragraph" w:styleId="18">
    <w:name w:val="index 1"/>
    <w:basedOn w:val="1"/>
    <w:next w:val="19"/>
    <w:semiHidden/>
    <w:qFormat/>
    <w:uiPriority w:val="0"/>
    <w:pPr>
      <w:widowControl w:val="0"/>
      <w:tabs>
        <w:tab w:val="right" w:leader="dot" w:pos="9299"/>
      </w:tabs>
      <w:jc w:val="left"/>
    </w:pPr>
    <w:rPr>
      <w:rFonts w:ascii="宋体" w:hAnsi="Times New Roman" w:cs="宋体"/>
    </w:rPr>
  </w:style>
  <w:style w:type="paragraph" w:customStyle="1" w:styleId="19">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styleId="20">
    <w:name w:val="footnote text"/>
    <w:basedOn w:val="1"/>
    <w:link w:val="45"/>
    <w:semiHidden/>
    <w:uiPriority w:val="0"/>
    <w:pPr>
      <w:widowControl w:val="0"/>
      <w:numPr>
        <w:ilvl w:val="0"/>
        <w:numId w:val="1"/>
      </w:numPr>
      <w:snapToGrid w:val="0"/>
      <w:jc w:val="left"/>
    </w:pPr>
    <w:rPr>
      <w:rFonts w:ascii="Times New Roman" w:hAnsi="Times New Roman" w:cs="Times New Roman"/>
      <w:kern w:val="0"/>
      <w:sz w:val="18"/>
      <w:szCs w:val="18"/>
    </w:rPr>
  </w:style>
  <w:style w:type="paragraph" w:styleId="21">
    <w:name w:val="index 7"/>
    <w:basedOn w:val="1"/>
    <w:next w:val="1"/>
    <w:semiHidden/>
    <w:qFormat/>
    <w:uiPriority w:val="0"/>
    <w:pPr>
      <w:widowControl w:val="0"/>
      <w:ind w:left="1470" w:hanging="210"/>
      <w:jc w:val="left"/>
    </w:pPr>
    <w:rPr>
      <w:sz w:val="20"/>
      <w:szCs w:val="20"/>
    </w:rPr>
  </w:style>
  <w:style w:type="paragraph" w:styleId="22">
    <w:name w:val="index 9"/>
    <w:basedOn w:val="1"/>
    <w:next w:val="1"/>
    <w:semiHidden/>
    <w:qFormat/>
    <w:uiPriority w:val="0"/>
    <w:pPr>
      <w:widowControl w:val="0"/>
      <w:ind w:left="1890" w:hanging="210"/>
      <w:jc w:val="left"/>
    </w:pPr>
    <w:rPr>
      <w:sz w:val="20"/>
      <w:szCs w:val="20"/>
    </w:rPr>
  </w:style>
  <w:style w:type="paragraph" w:styleId="23">
    <w:name w:val="Normal (Web)"/>
    <w:basedOn w:val="1"/>
    <w:unhideWhenUsed/>
    <w:qFormat/>
    <w:locked/>
    <w:uiPriority w:val="99"/>
    <w:pPr>
      <w:spacing w:before="100" w:beforeAutospacing="1" w:after="100" w:afterAutospacing="1"/>
      <w:jc w:val="left"/>
    </w:pPr>
    <w:rPr>
      <w:rFonts w:ascii="宋体" w:hAnsi="宋体" w:cs="宋体"/>
      <w:kern w:val="0"/>
      <w:sz w:val="24"/>
      <w:szCs w:val="24"/>
    </w:rPr>
  </w:style>
  <w:style w:type="paragraph" w:styleId="24">
    <w:name w:val="index 2"/>
    <w:basedOn w:val="1"/>
    <w:next w:val="1"/>
    <w:semiHidden/>
    <w:qFormat/>
    <w:uiPriority w:val="0"/>
    <w:pPr>
      <w:widowControl w:val="0"/>
      <w:ind w:left="420" w:hanging="210"/>
      <w:jc w:val="left"/>
    </w:pPr>
    <w:rPr>
      <w:sz w:val="20"/>
      <w:szCs w:val="20"/>
    </w:rPr>
  </w:style>
  <w:style w:type="table" w:styleId="26">
    <w:name w:val="Table Grid"/>
    <w:basedOn w:val="25"/>
    <w:qFormat/>
    <w:uiPriority w:val="0"/>
    <w:rPr>
      <w:rFonts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8">
    <w:name w:val="endnote reference"/>
    <w:semiHidden/>
    <w:qFormat/>
    <w:uiPriority w:val="0"/>
    <w:rPr>
      <w:rFonts w:cs="Times New Roman"/>
      <w:vertAlign w:val="superscript"/>
    </w:rPr>
  </w:style>
  <w:style w:type="character" w:styleId="29">
    <w:name w:val="page number"/>
    <w:qFormat/>
    <w:uiPriority w:val="0"/>
    <w:rPr>
      <w:rFonts w:ascii="Times New Roman" w:hAnsi="Times New Roman" w:eastAsia="宋体" w:cs="Times New Roman"/>
      <w:sz w:val="18"/>
      <w:szCs w:val="18"/>
    </w:rPr>
  </w:style>
  <w:style w:type="character" w:styleId="30">
    <w:name w:val="Hyperlink"/>
    <w:qFormat/>
    <w:uiPriority w:val="0"/>
    <w:rPr>
      <w:rFonts w:cs="Times New Roman"/>
      <w:color w:val="0000FF"/>
      <w:spacing w:val="0"/>
      <w:w w:val="100"/>
      <w:sz w:val="21"/>
      <w:szCs w:val="21"/>
      <w:u w:val="single"/>
    </w:rPr>
  </w:style>
  <w:style w:type="character" w:styleId="31">
    <w:name w:val="footnote reference"/>
    <w:semiHidden/>
    <w:qFormat/>
    <w:uiPriority w:val="0"/>
    <w:rPr>
      <w:rFonts w:cs="Times New Roman"/>
      <w:vertAlign w:val="superscript"/>
    </w:rPr>
  </w:style>
  <w:style w:type="paragraph" w:customStyle="1" w:styleId="32">
    <w:name w:val="目录 71"/>
    <w:basedOn w:val="1"/>
    <w:next w:val="1"/>
    <w:semiHidden/>
    <w:qFormat/>
    <w:uiPriority w:val="0"/>
    <w:pPr>
      <w:widowControl w:val="0"/>
      <w:tabs>
        <w:tab w:val="right" w:leader="dot" w:pos="9241"/>
      </w:tabs>
      <w:ind w:firstLine="505" w:firstLineChars="500"/>
      <w:jc w:val="left"/>
    </w:pPr>
    <w:rPr>
      <w:rFonts w:ascii="宋体" w:hAnsi="Times New Roman" w:cs="宋体"/>
    </w:rPr>
  </w:style>
  <w:style w:type="character" w:customStyle="1" w:styleId="33">
    <w:name w:val="文档结构图 Char"/>
    <w:link w:val="6"/>
    <w:semiHidden/>
    <w:qFormat/>
    <w:locked/>
    <w:uiPriority w:val="0"/>
    <w:rPr>
      <w:rFonts w:cs="Times New Roman"/>
      <w:sz w:val="2"/>
    </w:rPr>
  </w:style>
  <w:style w:type="character" w:customStyle="1" w:styleId="34">
    <w:name w:val="正文文本 Char"/>
    <w:link w:val="8"/>
    <w:semiHidden/>
    <w:qFormat/>
    <w:locked/>
    <w:uiPriority w:val="0"/>
    <w:rPr>
      <w:rFonts w:ascii="Calibri" w:hAnsi="Calibri" w:cs="Calibri"/>
      <w:sz w:val="21"/>
      <w:szCs w:val="21"/>
    </w:rPr>
  </w:style>
  <w:style w:type="paragraph" w:customStyle="1" w:styleId="35">
    <w:name w:val="目录 51"/>
    <w:basedOn w:val="1"/>
    <w:next w:val="1"/>
    <w:semiHidden/>
    <w:qFormat/>
    <w:uiPriority w:val="0"/>
    <w:pPr>
      <w:widowControl w:val="0"/>
      <w:tabs>
        <w:tab w:val="right" w:leader="dot" w:pos="9241"/>
      </w:tabs>
      <w:ind w:firstLine="300" w:firstLineChars="300"/>
      <w:jc w:val="left"/>
    </w:pPr>
    <w:rPr>
      <w:rFonts w:ascii="宋体" w:hAnsi="Times New Roman" w:cs="宋体"/>
    </w:rPr>
  </w:style>
  <w:style w:type="paragraph" w:customStyle="1" w:styleId="36">
    <w:name w:val="目录 31"/>
    <w:basedOn w:val="1"/>
    <w:next w:val="1"/>
    <w:semiHidden/>
    <w:qFormat/>
    <w:uiPriority w:val="0"/>
    <w:pPr>
      <w:widowControl w:val="0"/>
      <w:tabs>
        <w:tab w:val="right" w:leader="dot" w:pos="9241"/>
      </w:tabs>
      <w:ind w:firstLine="102" w:firstLineChars="100"/>
      <w:jc w:val="left"/>
    </w:pPr>
    <w:rPr>
      <w:rFonts w:ascii="宋体" w:hAnsi="Times New Roman" w:cs="宋体"/>
    </w:rPr>
  </w:style>
  <w:style w:type="character" w:customStyle="1" w:styleId="37">
    <w:name w:val="纯文本 Char"/>
    <w:link w:val="10"/>
    <w:semiHidden/>
    <w:qFormat/>
    <w:locked/>
    <w:uiPriority w:val="0"/>
    <w:rPr>
      <w:rFonts w:ascii="宋体" w:hAnsi="Courier New" w:cs="Courier New"/>
      <w:sz w:val="21"/>
      <w:szCs w:val="21"/>
    </w:rPr>
  </w:style>
  <w:style w:type="paragraph" w:customStyle="1" w:styleId="38">
    <w:name w:val="目录 81"/>
    <w:basedOn w:val="1"/>
    <w:next w:val="1"/>
    <w:semiHidden/>
    <w:qFormat/>
    <w:uiPriority w:val="0"/>
    <w:pPr>
      <w:widowControl w:val="0"/>
      <w:tabs>
        <w:tab w:val="right" w:leader="dot" w:pos="9241"/>
      </w:tabs>
      <w:ind w:firstLine="607" w:firstLineChars="600"/>
      <w:jc w:val="left"/>
    </w:pPr>
    <w:rPr>
      <w:rFonts w:ascii="宋体" w:hAnsi="Times New Roman" w:cs="宋体"/>
    </w:rPr>
  </w:style>
  <w:style w:type="character" w:customStyle="1" w:styleId="39">
    <w:name w:val="尾注文本 Char"/>
    <w:link w:val="13"/>
    <w:semiHidden/>
    <w:qFormat/>
    <w:locked/>
    <w:uiPriority w:val="0"/>
    <w:rPr>
      <w:rFonts w:cs="Times New Roman"/>
      <w:sz w:val="21"/>
      <w:szCs w:val="21"/>
    </w:rPr>
  </w:style>
  <w:style w:type="character" w:customStyle="1" w:styleId="40">
    <w:name w:val="页脚 Char"/>
    <w:link w:val="15"/>
    <w:qFormat/>
    <w:locked/>
    <w:uiPriority w:val="99"/>
    <w:rPr>
      <w:rFonts w:cs="Times New Roman"/>
      <w:sz w:val="18"/>
      <w:szCs w:val="18"/>
    </w:rPr>
  </w:style>
  <w:style w:type="character" w:customStyle="1" w:styleId="41">
    <w:name w:val="页眉 Char"/>
    <w:link w:val="16"/>
    <w:semiHidden/>
    <w:qFormat/>
    <w:locked/>
    <w:uiPriority w:val="0"/>
    <w:rPr>
      <w:rFonts w:cs="Times New Roman"/>
      <w:sz w:val="18"/>
      <w:szCs w:val="18"/>
    </w:rPr>
  </w:style>
  <w:style w:type="paragraph" w:customStyle="1" w:styleId="42">
    <w:name w:val="目录 11"/>
    <w:basedOn w:val="1"/>
    <w:next w:val="1"/>
    <w:semiHidden/>
    <w:qFormat/>
    <w:uiPriority w:val="0"/>
    <w:pPr>
      <w:widowControl w:val="0"/>
      <w:tabs>
        <w:tab w:val="right" w:leader="dot" w:pos="9241"/>
      </w:tabs>
      <w:spacing w:beforeLines="25" w:afterLines="25"/>
      <w:jc w:val="left"/>
    </w:pPr>
    <w:rPr>
      <w:rFonts w:ascii="宋体" w:hAnsi="Times New Roman" w:cs="宋体"/>
    </w:rPr>
  </w:style>
  <w:style w:type="paragraph" w:customStyle="1" w:styleId="43">
    <w:name w:val="目录 41"/>
    <w:basedOn w:val="1"/>
    <w:next w:val="1"/>
    <w:semiHidden/>
    <w:qFormat/>
    <w:uiPriority w:val="0"/>
    <w:pPr>
      <w:widowControl w:val="0"/>
      <w:tabs>
        <w:tab w:val="right" w:leader="dot" w:pos="9241"/>
      </w:tabs>
      <w:ind w:firstLine="198" w:firstLineChars="200"/>
      <w:jc w:val="left"/>
    </w:pPr>
    <w:rPr>
      <w:rFonts w:ascii="宋体" w:hAnsi="Times New Roman" w:cs="宋体"/>
    </w:rPr>
  </w:style>
  <w:style w:type="character" w:customStyle="1" w:styleId="44">
    <w:name w:val="段 Char"/>
    <w:link w:val="19"/>
    <w:qFormat/>
    <w:locked/>
    <w:uiPriority w:val="0"/>
    <w:rPr>
      <w:rFonts w:ascii="宋体" w:cs="宋体"/>
      <w:sz w:val="21"/>
      <w:szCs w:val="21"/>
      <w:lang w:val="en-US" w:eastAsia="zh-CN" w:bidi="ar-SA"/>
    </w:rPr>
  </w:style>
  <w:style w:type="character" w:customStyle="1" w:styleId="45">
    <w:name w:val="脚注文本 Char"/>
    <w:link w:val="20"/>
    <w:semiHidden/>
    <w:qFormat/>
    <w:locked/>
    <w:uiPriority w:val="0"/>
    <w:rPr>
      <w:rFonts w:cs="Times New Roman"/>
      <w:sz w:val="18"/>
      <w:szCs w:val="18"/>
    </w:rPr>
  </w:style>
  <w:style w:type="paragraph" w:customStyle="1" w:styleId="46">
    <w:name w:val="目录 61"/>
    <w:basedOn w:val="1"/>
    <w:next w:val="1"/>
    <w:semiHidden/>
    <w:qFormat/>
    <w:uiPriority w:val="0"/>
    <w:pPr>
      <w:widowControl w:val="0"/>
      <w:tabs>
        <w:tab w:val="right" w:leader="dot" w:pos="9241"/>
      </w:tabs>
      <w:ind w:firstLine="403" w:firstLineChars="400"/>
      <w:jc w:val="left"/>
    </w:pPr>
    <w:rPr>
      <w:rFonts w:ascii="宋体" w:hAnsi="Times New Roman" w:cs="宋体"/>
    </w:rPr>
  </w:style>
  <w:style w:type="paragraph" w:customStyle="1" w:styleId="47">
    <w:name w:val="目录 21"/>
    <w:basedOn w:val="1"/>
    <w:next w:val="1"/>
    <w:semiHidden/>
    <w:qFormat/>
    <w:uiPriority w:val="0"/>
    <w:pPr>
      <w:widowControl w:val="0"/>
      <w:tabs>
        <w:tab w:val="right" w:leader="dot" w:pos="9241"/>
      </w:tabs>
    </w:pPr>
    <w:rPr>
      <w:rFonts w:ascii="宋体" w:hAnsi="Times New Roman" w:cs="宋体"/>
    </w:rPr>
  </w:style>
  <w:style w:type="paragraph" w:customStyle="1" w:styleId="48">
    <w:name w:val="目录 91"/>
    <w:basedOn w:val="1"/>
    <w:next w:val="1"/>
    <w:semiHidden/>
    <w:qFormat/>
    <w:uiPriority w:val="0"/>
    <w:pPr>
      <w:widowControl w:val="0"/>
      <w:ind w:left="1470"/>
      <w:jc w:val="left"/>
    </w:pPr>
    <w:rPr>
      <w:rFonts w:ascii="Times New Roman" w:hAnsi="Times New Roman" w:cs="Times New Roman"/>
      <w:sz w:val="20"/>
      <w:szCs w:val="20"/>
    </w:rPr>
  </w:style>
  <w:style w:type="character" w:customStyle="1" w:styleId="49">
    <w:name w:val="已访问的超链接1"/>
    <w:qFormat/>
    <w:uiPriority w:val="0"/>
    <w:rPr>
      <w:rFonts w:cs="Times New Roman"/>
      <w:color w:val="800080"/>
      <w:u w:val="single"/>
    </w:rPr>
  </w:style>
  <w:style w:type="paragraph" w:customStyle="1" w:styleId="50">
    <w:name w:val="一级条标题"/>
    <w:next w:val="19"/>
    <w:link w:val="5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51">
    <w:name w:val="一级条标题 Char"/>
    <w:link w:val="50"/>
    <w:qFormat/>
    <w:locked/>
    <w:uiPriority w:val="0"/>
    <w:rPr>
      <w:rFonts w:ascii="黑体" w:eastAsia="黑体"/>
      <w:sz w:val="21"/>
      <w:szCs w:val="21"/>
      <w:lang w:bidi="ar-SA"/>
    </w:rPr>
  </w:style>
  <w:style w:type="paragraph" w:customStyle="1" w:styleId="52">
    <w:name w:val="标准书脚_奇数页"/>
    <w:qFormat/>
    <w:uiPriority w:val="0"/>
    <w:pPr>
      <w:spacing w:before="120"/>
      <w:ind w:right="198"/>
      <w:jc w:val="right"/>
    </w:pPr>
    <w:rPr>
      <w:rFonts w:ascii="宋体" w:hAnsi="Times New Roman" w:eastAsia="宋体" w:cs="宋体"/>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54">
    <w:name w:val="章标题"/>
    <w:next w:val="19"/>
    <w:qFormat/>
    <w:uiPriority w:val="0"/>
    <w:pPr>
      <w:numPr>
        <w:ilvl w:val="0"/>
        <w:numId w:val="2"/>
      </w:numPr>
      <w:spacing w:beforeLines="100" w:afterLines="100"/>
      <w:jc w:val="both"/>
      <w:outlineLvl w:val="1"/>
    </w:pPr>
    <w:rPr>
      <w:rFonts w:ascii="黑体" w:hAnsi="Times New Roman" w:eastAsia="黑体" w:cs="黑体"/>
      <w:sz w:val="21"/>
      <w:szCs w:val="21"/>
      <w:lang w:val="en-US" w:eastAsia="zh-CN" w:bidi="ar-SA"/>
    </w:rPr>
  </w:style>
  <w:style w:type="paragraph" w:customStyle="1" w:styleId="55">
    <w:name w:val="二级条标题"/>
    <w:basedOn w:val="50"/>
    <w:next w:val="19"/>
    <w:qFormat/>
    <w:uiPriority w:val="0"/>
    <w:pPr>
      <w:numPr>
        <w:ilvl w:val="2"/>
      </w:numPr>
      <w:spacing w:before="50" w:after="50"/>
      <w:outlineLvl w:val="3"/>
    </w:pPr>
  </w:style>
  <w:style w:type="paragraph" w:customStyle="1" w:styleId="56">
    <w:name w:val="封面标准号2"/>
    <w:qFormat/>
    <w:uiPriority w:val="0"/>
    <w:pPr>
      <w:framePr w:w="9140" w:h="1242" w:hRule="exact" w:hSpace="284" w:wrap="auto" w:vAnchor="page" w:hAnchor="page" w:x="1645" w:y="2910" w:anchorLock="1"/>
      <w:spacing w:before="357" w:line="280" w:lineRule="exact"/>
      <w:jc w:val="right"/>
    </w:pPr>
    <w:rPr>
      <w:rFonts w:ascii="黑体" w:hAnsi="Times New Roman" w:eastAsia="黑体" w:cs="黑体"/>
      <w:sz w:val="28"/>
      <w:szCs w:val="28"/>
      <w:lang w:val="en-US" w:eastAsia="zh-CN" w:bidi="ar-SA"/>
    </w:rPr>
  </w:style>
  <w:style w:type="paragraph" w:customStyle="1" w:styleId="57">
    <w:name w:val="列项——（一级）"/>
    <w:qFormat/>
    <w:uiPriority w:val="0"/>
    <w:pPr>
      <w:widowControl w:val="0"/>
      <w:numPr>
        <w:ilvl w:val="0"/>
        <w:numId w:val="3"/>
      </w:numPr>
      <w:jc w:val="both"/>
    </w:pPr>
    <w:rPr>
      <w:rFonts w:ascii="宋体" w:hAnsi="Times New Roman" w:eastAsia="宋体" w:cs="宋体"/>
      <w:sz w:val="21"/>
      <w:szCs w:val="21"/>
      <w:lang w:val="en-US" w:eastAsia="zh-CN" w:bidi="ar-SA"/>
    </w:rPr>
  </w:style>
  <w:style w:type="paragraph" w:customStyle="1" w:styleId="58">
    <w:name w:val="列项●（二级）"/>
    <w:qFormat/>
    <w:uiPriority w:val="0"/>
    <w:pPr>
      <w:numPr>
        <w:ilvl w:val="1"/>
        <w:numId w:val="3"/>
      </w:numPr>
      <w:tabs>
        <w:tab w:val="left" w:pos="840"/>
      </w:tabs>
      <w:jc w:val="both"/>
    </w:pPr>
    <w:rPr>
      <w:rFonts w:ascii="宋体" w:hAnsi="Times New Roman" w:eastAsia="宋体" w:cs="宋体"/>
      <w:sz w:val="21"/>
      <w:szCs w:val="21"/>
      <w:lang w:val="en-US" w:eastAsia="zh-CN" w:bidi="ar-SA"/>
    </w:rPr>
  </w:style>
  <w:style w:type="paragraph" w:customStyle="1" w:styleId="59">
    <w:name w:val="目次、标准名称标题"/>
    <w:basedOn w:val="1"/>
    <w:next w:val="19"/>
    <w:qFormat/>
    <w:uiPriority w:val="0"/>
    <w:pPr>
      <w:keepNext/>
      <w:pageBreakBefore/>
      <w:shd w:val="clear" w:color="FFFFFF" w:fill="FFFFFF"/>
      <w:spacing w:before="640" w:after="560" w:line="460" w:lineRule="exact"/>
      <w:jc w:val="center"/>
      <w:outlineLvl w:val="0"/>
    </w:pPr>
    <w:rPr>
      <w:rFonts w:ascii="黑体" w:hAnsi="Times New Roman" w:eastAsia="黑体" w:cs="黑体"/>
      <w:kern w:val="0"/>
      <w:sz w:val="32"/>
      <w:szCs w:val="32"/>
    </w:rPr>
  </w:style>
  <w:style w:type="paragraph" w:customStyle="1" w:styleId="60">
    <w:name w:val="三级条标题"/>
    <w:basedOn w:val="55"/>
    <w:next w:val="19"/>
    <w:qFormat/>
    <w:uiPriority w:val="0"/>
    <w:pPr>
      <w:numPr>
        <w:ilvl w:val="0"/>
        <w:numId w:val="0"/>
      </w:numPr>
      <w:outlineLvl w:val="4"/>
    </w:pPr>
  </w:style>
  <w:style w:type="paragraph" w:customStyle="1" w:styleId="61">
    <w:name w:val="示例"/>
    <w:next w:val="62"/>
    <w:qFormat/>
    <w:uiPriority w:val="0"/>
    <w:pPr>
      <w:widowControl w:val="0"/>
      <w:numPr>
        <w:ilvl w:val="0"/>
        <w:numId w:val="4"/>
      </w:numPr>
      <w:jc w:val="both"/>
    </w:pPr>
    <w:rPr>
      <w:rFonts w:ascii="宋体" w:hAnsi="Times New Roman" w:eastAsia="宋体" w:cs="宋体"/>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宋体"/>
      <w:sz w:val="18"/>
      <w:szCs w:val="18"/>
      <w:lang w:val="en-US" w:eastAsia="zh-CN" w:bidi="ar-SA"/>
    </w:rPr>
  </w:style>
  <w:style w:type="paragraph" w:customStyle="1" w:styleId="63">
    <w:name w:val="数字编号列项（二级）"/>
    <w:qFormat/>
    <w:uiPriority w:val="0"/>
    <w:pPr>
      <w:numPr>
        <w:ilvl w:val="1"/>
        <w:numId w:val="5"/>
      </w:numPr>
      <w:jc w:val="both"/>
    </w:pPr>
    <w:rPr>
      <w:rFonts w:ascii="宋体" w:hAnsi="Times New Roman" w:eastAsia="宋体" w:cs="宋体"/>
      <w:sz w:val="21"/>
      <w:szCs w:val="21"/>
      <w:lang w:val="en-US" w:eastAsia="zh-CN" w:bidi="ar-SA"/>
    </w:rPr>
  </w:style>
  <w:style w:type="paragraph" w:customStyle="1" w:styleId="64">
    <w:name w:val="四级条标题"/>
    <w:basedOn w:val="60"/>
    <w:next w:val="19"/>
    <w:qFormat/>
    <w:uiPriority w:val="0"/>
    <w:pPr>
      <w:numPr>
        <w:ilvl w:val="4"/>
        <w:numId w:val="2"/>
      </w:numPr>
      <w:outlineLvl w:val="5"/>
    </w:pPr>
  </w:style>
  <w:style w:type="paragraph" w:customStyle="1" w:styleId="65">
    <w:name w:val="五级条标题"/>
    <w:basedOn w:val="64"/>
    <w:next w:val="19"/>
    <w:qFormat/>
    <w:uiPriority w:val="0"/>
    <w:pPr>
      <w:numPr>
        <w:ilvl w:val="5"/>
      </w:numPr>
      <w:outlineLvl w:val="6"/>
    </w:pPr>
  </w:style>
  <w:style w:type="paragraph" w:customStyle="1" w:styleId="66">
    <w:name w:val="注："/>
    <w:next w:val="19"/>
    <w:uiPriority w:val="0"/>
    <w:pPr>
      <w:widowControl w:val="0"/>
      <w:numPr>
        <w:ilvl w:val="0"/>
        <w:numId w:val="6"/>
      </w:numPr>
      <w:autoSpaceDE w:val="0"/>
      <w:autoSpaceDN w:val="0"/>
      <w:jc w:val="both"/>
    </w:pPr>
    <w:rPr>
      <w:rFonts w:ascii="宋体" w:hAnsi="Times New Roman" w:eastAsia="宋体" w:cs="宋体"/>
      <w:sz w:val="18"/>
      <w:szCs w:val="18"/>
      <w:lang w:val="en-US" w:eastAsia="zh-CN" w:bidi="ar-SA"/>
    </w:rPr>
  </w:style>
  <w:style w:type="paragraph" w:customStyle="1" w:styleId="67">
    <w:name w:val="注×："/>
    <w:qFormat/>
    <w:uiPriority w:val="0"/>
    <w:pPr>
      <w:widowControl w:val="0"/>
      <w:numPr>
        <w:ilvl w:val="0"/>
        <w:numId w:val="7"/>
      </w:numPr>
      <w:autoSpaceDE w:val="0"/>
      <w:autoSpaceDN w:val="0"/>
      <w:jc w:val="both"/>
    </w:pPr>
    <w:rPr>
      <w:rFonts w:ascii="宋体" w:hAnsi="Times New Roman" w:eastAsia="宋体" w:cs="宋体"/>
      <w:sz w:val="18"/>
      <w:szCs w:val="18"/>
      <w:lang w:val="en-US" w:eastAsia="zh-CN" w:bidi="ar-SA"/>
    </w:rPr>
  </w:style>
  <w:style w:type="paragraph" w:customStyle="1" w:styleId="68">
    <w:name w:val="字母编号列项（一级）"/>
    <w:qFormat/>
    <w:uiPriority w:val="0"/>
    <w:pPr>
      <w:numPr>
        <w:ilvl w:val="0"/>
        <w:numId w:val="5"/>
      </w:numPr>
      <w:jc w:val="both"/>
    </w:pPr>
    <w:rPr>
      <w:rFonts w:ascii="宋体" w:hAnsi="Times New Roman" w:eastAsia="宋体" w:cs="宋体"/>
      <w:sz w:val="21"/>
      <w:szCs w:val="21"/>
      <w:lang w:val="en-US" w:eastAsia="zh-CN" w:bidi="ar-SA"/>
    </w:rPr>
  </w:style>
  <w:style w:type="paragraph" w:customStyle="1" w:styleId="69">
    <w:name w:val="列项◆（三级）"/>
    <w:basedOn w:val="1"/>
    <w:qFormat/>
    <w:uiPriority w:val="0"/>
    <w:pPr>
      <w:widowControl w:val="0"/>
      <w:numPr>
        <w:ilvl w:val="2"/>
        <w:numId w:val="3"/>
      </w:numPr>
    </w:pPr>
    <w:rPr>
      <w:rFonts w:ascii="宋体" w:hAnsi="Times New Roman" w:cs="宋体"/>
    </w:rPr>
  </w:style>
  <w:style w:type="paragraph" w:customStyle="1" w:styleId="70">
    <w:name w:val="编号列项（三级）"/>
    <w:qFormat/>
    <w:uiPriority w:val="0"/>
    <w:rPr>
      <w:rFonts w:ascii="宋体" w:hAnsi="Times New Roman" w:eastAsia="宋体" w:cs="宋体"/>
      <w:sz w:val="21"/>
      <w:szCs w:val="21"/>
      <w:lang w:val="en-US" w:eastAsia="zh-CN" w:bidi="ar-SA"/>
    </w:rPr>
  </w:style>
  <w:style w:type="paragraph" w:customStyle="1" w:styleId="71">
    <w:name w:val="示例×："/>
    <w:basedOn w:val="54"/>
    <w:uiPriority w:val="0"/>
    <w:pPr>
      <w:numPr>
        <w:numId w:val="8"/>
      </w:numPr>
      <w:spacing w:beforeLines="0" w:afterLines="0"/>
      <w:outlineLvl w:val="9"/>
    </w:pPr>
    <w:rPr>
      <w:rFonts w:ascii="宋体" w:eastAsia="宋体" w:cs="宋体"/>
      <w:sz w:val="18"/>
      <w:szCs w:val="18"/>
    </w:rPr>
  </w:style>
  <w:style w:type="paragraph" w:customStyle="1" w:styleId="72">
    <w:name w:val="二级无"/>
    <w:basedOn w:val="55"/>
    <w:qFormat/>
    <w:uiPriority w:val="0"/>
    <w:pPr>
      <w:spacing w:beforeLines="0" w:afterLines="0"/>
    </w:pPr>
    <w:rPr>
      <w:rFonts w:ascii="宋体" w:eastAsia="宋体" w:cs="宋体"/>
    </w:rPr>
  </w:style>
  <w:style w:type="paragraph" w:customStyle="1" w:styleId="73">
    <w:name w:val="注：（正文）"/>
    <w:basedOn w:val="66"/>
    <w:next w:val="19"/>
    <w:qFormat/>
    <w:uiPriority w:val="0"/>
    <w:pPr>
      <w:numPr>
        <w:ilvl w:val="0"/>
        <w:numId w:val="9"/>
      </w:numPr>
    </w:pPr>
  </w:style>
  <w:style w:type="paragraph" w:customStyle="1" w:styleId="74">
    <w:name w:val="注×：（正文）"/>
    <w:qFormat/>
    <w:uiPriority w:val="0"/>
    <w:pPr>
      <w:numPr>
        <w:ilvl w:val="0"/>
        <w:numId w:val="10"/>
      </w:numPr>
      <w:jc w:val="both"/>
    </w:pPr>
    <w:rPr>
      <w:rFonts w:ascii="宋体" w:hAnsi="Times New Roman" w:eastAsia="宋体" w:cs="宋体"/>
      <w:sz w:val="18"/>
      <w:szCs w:val="18"/>
      <w:lang w:val="en-US" w:eastAsia="zh-CN" w:bidi="ar-SA"/>
    </w:rPr>
  </w:style>
  <w:style w:type="paragraph" w:customStyle="1" w:styleId="75">
    <w:name w:val="标准标志"/>
    <w:next w:val="1"/>
    <w:qFormat/>
    <w:uiPriority w:val="0"/>
    <w:pPr>
      <w:framePr w:w="2546" w:h="1389" w:hRule="exact" w:hSpace="181" w:vSpace="181" w:wrap="auto" w:vAnchor="margin" w:hAnchor="margin" w:x="6522" w:y="398" w:anchorLock="1"/>
      <w:shd w:val="solid" w:color="FFFFFF" w:fill="FFFFFF"/>
      <w:spacing w:line="240" w:lineRule="atLeast"/>
      <w:jc w:val="right"/>
    </w:pPr>
    <w:rPr>
      <w:rFonts w:ascii="Times New Roman" w:hAnsi="Times New Roman" w:eastAsia="宋体" w:cs="Times New Roman"/>
      <w:b/>
      <w:bCs/>
      <w:w w:val="170"/>
      <w:sz w:val="96"/>
      <w:szCs w:val="96"/>
      <w:lang w:val="en-US" w:eastAsia="zh-CN" w:bidi="ar-SA"/>
    </w:rPr>
  </w:style>
  <w:style w:type="paragraph" w:customStyle="1" w:styleId="76">
    <w:name w:val="标准称谓"/>
    <w:next w:val="1"/>
    <w:qFormat/>
    <w:uiPriority w:val="0"/>
    <w:pPr>
      <w:framePr w:w="9639" w:h="624" w:hRule="exact" w:hSpace="181" w:vSpace="181" w:wrap="auto" w:vAnchor="page" w:hAnchor="page" w:x="1419" w:y="2286" w:anchorLock="1"/>
      <w:widowControl w:val="0"/>
      <w:kinsoku w:val="0"/>
      <w:overflowPunct w:val="0"/>
      <w:autoSpaceDE w:val="0"/>
      <w:autoSpaceDN w:val="0"/>
      <w:spacing w:line="240" w:lineRule="atLeast"/>
      <w:jc w:val="distribute"/>
    </w:pPr>
    <w:rPr>
      <w:rFonts w:ascii="宋体" w:hAnsi="Times New Roman" w:eastAsia="宋体" w:cs="宋体"/>
      <w:b/>
      <w:bCs/>
      <w:spacing w:val="20"/>
      <w:w w:val="148"/>
      <w:sz w:val="48"/>
      <w:szCs w:val="48"/>
      <w:lang w:val="en-US" w:eastAsia="zh-CN" w:bidi="ar-SA"/>
    </w:rPr>
  </w:style>
  <w:style w:type="paragraph" w:customStyle="1" w:styleId="77">
    <w:name w:val="标准书脚_偶数页"/>
    <w:qFormat/>
    <w:uiPriority w:val="0"/>
    <w:pPr>
      <w:spacing w:before="120"/>
      <w:ind w:left="221"/>
    </w:pPr>
    <w:rPr>
      <w:rFonts w:ascii="宋体" w:hAnsi="Times New Roman" w:eastAsia="宋体" w:cs="宋体"/>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参考文献"/>
    <w:basedOn w:val="1"/>
    <w:next w:val="19"/>
    <w:qFormat/>
    <w:uiPriority w:val="0"/>
    <w:pPr>
      <w:keepNext/>
      <w:pageBreakBefore/>
      <w:shd w:val="clear" w:color="FFFFFF" w:fill="FFFFFF"/>
      <w:spacing w:before="640" w:after="200"/>
      <w:jc w:val="center"/>
      <w:outlineLvl w:val="0"/>
    </w:pPr>
    <w:rPr>
      <w:rFonts w:ascii="黑体" w:hAnsi="Times New Roman" w:eastAsia="黑体" w:cs="黑体"/>
      <w:kern w:val="0"/>
    </w:rPr>
  </w:style>
  <w:style w:type="paragraph" w:customStyle="1" w:styleId="81">
    <w:name w:val="参考文献、索引标题"/>
    <w:basedOn w:val="1"/>
    <w:next w:val="19"/>
    <w:qFormat/>
    <w:uiPriority w:val="0"/>
    <w:pPr>
      <w:keepNext/>
      <w:pageBreakBefore/>
      <w:shd w:val="clear" w:color="FFFFFF" w:fill="FFFFFF"/>
      <w:spacing w:before="640" w:after="200"/>
      <w:jc w:val="center"/>
      <w:outlineLvl w:val="0"/>
    </w:pPr>
    <w:rPr>
      <w:rFonts w:ascii="黑体" w:hAnsi="Times New Roman" w:eastAsia="黑体" w:cs="黑体"/>
      <w:kern w:val="0"/>
    </w:rPr>
  </w:style>
  <w:style w:type="character" w:customStyle="1" w:styleId="82">
    <w:name w:val="发布"/>
    <w:qFormat/>
    <w:uiPriority w:val="0"/>
    <w:rPr>
      <w:rFonts w:ascii="黑体" w:eastAsia="黑体" w:cs="黑体"/>
      <w:spacing w:val="85"/>
      <w:w w:val="100"/>
      <w:position w:val="3"/>
      <w:sz w:val="28"/>
      <w:szCs w:val="28"/>
    </w:rPr>
  </w:style>
  <w:style w:type="paragraph" w:customStyle="1" w:styleId="83">
    <w:name w:val="发布部门"/>
    <w:next w:val="19"/>
    <w:qFormat/>
    <w:uiPriority w:val="0"/>
    <w:pPr>
      <w:framePr w:w="7938" w:h="1134" w:hRule="exact" w:hSpace="125" w:vSpace="181" w:wrap="auto" w:vAnchor="page" w:hAnchor="page" w:x="2150" w:y="14630" w:anchorLock="1"/>
      <w:jc w:val="center"/>
    </w:pPr>
    <w:rPr>
      <w:rFonts w:ascii="宋体" w:hAnsi="Times New Roman" w:eastAsia="宋体" w:cs="宋体"/>
      <w:b/>
      <w:bCs/>
      <w:spacing w:val="20"/>
      <w:w w:val="135"/>
      <w:sz w:val="28"/>
      <w:szCs w:val="28"/>
      <w:lang w:val="en-US" w:eastAsia="zh-CN" w:bidi="ar-SA"/>
    </w:rPr>
  </w:style>
  <w:style w:type="paragraph" w:customStyle="1" w:styleId="84">
    <w:name w:val="发布日期"/>
    <w:qFormat/>
    <w:uiPriority w:val="0"/>
    <w:pPr>
      <w:framePr w:w="3997" w:h="471" w:hRule="exact" w:vSpace="181" w:wrap="auto" w:vAnchor="margin" w:hAnchor="page" w:x="7089" w:y="14097" w:anchorLock="1"/>
    </w:pPr>
    <w:rPr>
      <w:rFonts w:ascii="Times New Roman" w:hAnsi="Times New Roman" w:eastAsia="黑体" w:cs="Times New Roman"/>
      <w:sz w:val="28"/>
      <w:szCs w:val="28"/>
      <w:lang w:val="en-US" w:eastAsia="zh-CN" w:bidi="ar-SA"/>
    </w:rPr>
  </w:style>
  <w:style w:type="paragraph" w:customStyle="1" w:styleId="85">
    <w:name w:val="封面标准代替信息"/>
    <w:qFormat/>
    <w:uiPriority w:val="0"/>
    <w:pPr>
      <w:framePr w:w="9140" w:h="1242" w:hRule="exact" w:hSpace="284" w:wrap="auto" w:vAnchor="page" w:hAnchor="page" w:x="1645" w:y="2910" w:anchorLock="1"/>
      <w:spacing w:before="57" w:line="280" w:lineRule="exact"/>
      <w:jc w:val="right"/>
    </w:pPr>
    <w:rPr>
      <w:rFonts w:ascii="宋体" w:hAnsi="Times New Roman" w:eastAsia="宋体" w:cs="宋体"/>
      <w:sz w:val="21"/>
      <w:szCs w:val="21"/>
      <w:lang w:val="en-US" w:eastAsia="zh-CN" w:bidi="ar-SA"/>
    </w:rPr>
  </w:style>
  <w:style w:type="paragraph" w:customStyle="1" w:styleId="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87">
    <w:name w:val="封面标准名称"/>
    <w:qFormat/>
    <w:uiPriority w:val="0"/>
    <w:pPr>
      <w:framePr w:w="9639" w:h="6917" w:hRule="exact" w:wrap="auto" w:vAnchor="page" w:hAnchor="page" w:xAlign="center" w:y="6408"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88">
    <w:name w:val="封面标准英文名称"/>
    <w:basedOn w:val="87"/>
    <w:qFormat/>
    <w:uiPriority w:val="0"/>
    <w:pPr>
      <w:spacing w:before="370" w:line="400" w:lineRule="exact"/>
    </w:pPr>
    <w:rPr>
      <w:rFonts w:ascii="Times New Roman" w:cs="Times New Roman"/>
      <w:sz w:val="28"/>
      <w:szCs w:val="28"/>
    </w:rPr>
  </w:style>
  <w:style w:type="paragraph" w:customStyle="1" w:styleId="89">
    <w:name w:val="封面一致性程度标识"/>
    <w:basedOn w:val="88"/>
    <w:qFormat/>
    <w:uiPriority w:val="0"/>
    <w:pPr>
      <w:spacing w:before="440"/>
    </w:pPr>
    <w:rPr>
      <w:rFonts w:ascii="宋体" w:eastAsia="宋体" w:cs="宋体"/>
    </w:rPr>
  </w:style>
  <w:style w:type="paragraph" w:customStyle="1" w:styleId="90">
    <w:name w:val="封面标准文稿类别"/>
    <w:basedOn w:val="89"/>
    <w:qFormat/>
    <w:uiPriority w:val="0"/>
    <w:pPr>
      <w:spacing w:after="160" w:line="240" w:lineRule="auto"/>
    </w:pPr>
    <w:rPr>
      <w:sz w:val="24"/>
      <w:szCs w:val="24"/>
    </w:rPr>
  </w:style>
  <w:style w:type="paragraph" w:customStyle="1" w:styleId="91">
    <w:name w:val="封面标准文稿编辑信息"/>
    <w:basedOn w:val="90"/>
    <w:qFormat/>
    <w:uiPriority w:val="0"/>
    <w:pPr>
      <w:spacing w:before="180" w:line="180" w:lineRule="exact"/>
    </w:pPr>
    <w:rPr>
      <w:sz w:val="21"/>
      <w:szCs w:val="21"/>
    </w:rPr>
  </w:style>
  <w:style w:type="paragraph" w:customStyle="1" w:styleId="92">
    <w:name w:val="封面正文"/>
    <w:qFormat/>
    <w:uiPriority w:val="0"/>
    <w:pPr>
      <w:jc w:val="both"/>
    </w:pPr>
    <w:rPr>
      <w:rFonts w:ascii="Times New Roman" w:hAnsi="Times New Roman" w:eastAsia="宋体" w:cs="Times New Roman"/>
      <w:lang w:val="en-US" w:eastAsia="zh-CN" w:bidi="ar-SA"/>
    </w:rPr>
  </w:style>
  <w:style w:type="paragraph" w:customStyle="1" w:styleId="93">
    <w:name w:val="附录标识"/>
    <w:basedOn w:val="1"/>
    <w:next w:val="19"/>
    <w:qFormat/>
    <w:uiPriority w:val="0"/>
    <w:pPr>
      <w:keepNext/>
      <w:numPr>
        <w:ilvl w:val="0"/>
        <w:numId w:val="11"/>
      </w:numPr>
      <w:shd w:val="clear" w:color="FFFFFF" w:fill="FFFFFF"/>
      <w:tabs>
        <w:tab w:val="left" w:pos="360"/>
        <w:tab w:val="left" w:pos="6405"/>
      </w:tabs>
      <w:spacing w:before="640" w:after="280"/>
      <w:jc w:val="center"/>
      <w:outlineLvl w:val="0"/>
    </w:pPr>
    <w:rPr>
      <w:rFonts w:ascii="黑体" w:hAnsi="Times New Roman" w:eastAsia="黑体" w:cs="黑体"/>
      <w:kern w:val="0"/>
    </w:rPr>
  </w:style>
  <w:style w:type="paragraph" w:customStyle="1" w:styleId="94">
    <w:name w:val="附录标题"/>
    <w:basedOn w:val="19"/>
    <w:next w:val="19"/>
    <w:qFormat/>
    <w:uiPriority w:val="0"/>
    <w:pPr>
      <w:ind w:firstLine="0" w:firstLineChars="0"/>
      <w:jc w:val="center"/>
    </w:pPr>
    <w:rPr>
      <w:rFonts w:ascii="黑体" w:eastAsia="黑体" w:cs="黑体"/>
    </w:rPr>
  </w:style>
  <w:style w:type="paragraph" w:customStyle="1" w:styleId="95">
    <w:name w:val="附录表标号"/>
    <w:basedOn w:val="1"/>
    <w:next w:val="19"/>
    <w:qFormat/>
    <w:uiPriority w:val="0"/>
    <w:pPr>
      <w:widowControl w:val="0"/>
      <w:numPr>
        <w:ilvl w:val="0"/>
        <w:numId w:val="12"/>
      </w:numPr>
      <w:spacing w:line="14" w:lineRule="exact"/>
      <w:ind w:left="811" w:hanging="448"/>
      <w:jc w:val="center"/>
      <w:outlineLvl w:val="0"/>
    </w:pPr>
    <w:rPr>
      <w:rFonts w:ascii="Times New Roman" w:hAnsi="Times New Roman" w:cs="Times New Roman"/>
      <w:color w:val="FFFFFF"/>
    </w:rPr>
  </w:style>
  <w:style w:type="paragraph" w:customStyle="1" w:styleId="96">
    <w:name w:val="附录表标题"/>
    <w:basedOn w:val="1"/>
    <w:next w:val="19"/>
    <w:qFormat/>
    <w:uiPriority w:val="0"/>
    <w:pPr>
      <w:widowControl w:val="0"/>
      <w:numPr>
        <w:ilvl w:val="1"/>
        <w:numId w:val="12"/>
      </w:numPr>
      <w:tabs>
        <w:tab w:val="left" w:pos="180"/>
      </w:tabs>
      <w:spacing w:beforeLines="50" w:afterLines="50"/>
      <w:jc w:val="center"/>
    </w:pPr>
    <w:rPr>
      <w:rFonts w:ascii="黑体" w:hAnsi="Times New Roman" w:eastAsia="黑体" w:cs="黑体"/>
    </w:rPr>
  </w:style>
  <w:style w:type="paragraph" w:customStyle="1" w:styleId="97">
    <w:name w:val="附录二级条标题"/>
    <w:basedOn w:val="1"/>
    <w:next w:val="19"/>
    <w:qFormat/>
    <w:uiPriority w:val="0"/>
    <w:pPr>
      <w:numPr>
        <w:ilvl w:val="3"/>
        <w:numId w:val="11"/>
      </w:numPr>
      <w:tabs>
        <w:tab w:val="left" w:pos="360"/>
      </w:tabs>
      <w:wordWrap w:val="0"/>
      <w:overflowPunct w:val="0"/>
      <w:autoSpaceDE w:val="0"/>
      <w:autoSpaceDN w:val="0"/>
      <w:spacing w:beforeLines="50" w:afterLines="50"/>
      <w:textAlignment w:val="baseline"/>
      <w:outlineLvl w:val="3"/>
    </w:pPr>
    <w:rPr>
      <w:rFonts w:ascii="黑体" w:hAnsi="Times New Roman" w:eastAsia="黑体" w:cs="黑体"/>
      <w:kern w:val="21"/>
    </w:rPr>
  </w:style>
  <w:style w:type="paragraph" w:customStyle="1" w:styleId="98">
    <w:name w:val="附录二级无"/>
    <w:basedOn w:val="97"/>
    <w:qFormat/>
    <w:uiPriority w:val="0"/>
    <w:pPr>
      <w:tabs>
        <w:tab w:val="clear" w:pos="360"/>
      </w:tabs>
      <w:spacing w:beforeLines="0" w:afterLines="0"/>
    </w:pPr>
    <w:rPr>
      <w:rFonts w:ascii="宋体" w:eastAsia="宋体" w:cs="宋体"/>
    </w:rPr>
  </w:style>
  <w:style w:type="paragraph" w:customStyle="1" w:styleId="99">
    <w:name w:val="附录公式"/>
    <w:basedOn w:val="19"/>
    <w:next w:val="19"/>
    <w:link w:val="100"/>
    <w:qFormat/>
    <w:uiPriority w:val="0"/>
    <w:rPr>
      <w:rFonts w:ascii="Times New Roman" w:cs="Times New Roman"/>
      <w:sz w:val="20"/>
      <w:szCs w:val="20"/>
    </w:rPr>
  </w:style>
  <w:style w:type="character" w:customStyle="1" w:styleId="100">
    <w:name w:val="附录公式 Char"/>
    <w:link w:val="99"/>
    <w:qFormat/>
    <w:locked/>
    <w:uiPriority w:val="0"/>
    <w:rPr>
      <w:lang w:val="en-US" w:eastAsia="zh-CN" w:bidi="ar-SA"/>
    </w:rPr>
  </w:style>
  <w:style w:type="paragraph" w:customStyle="1" w:styleId="101">
    <w:name w:val="附录公式编号制表符"/>
    <w:basedOn w:val="1"/>
    <w:next w:val="19"/>
    <w:qFormat/>
    <w:uiPriority w:val="0"/>
    <w:pPr>
      <w:tabs>
        <w:tab w:val="center" w:pos="4201"/>
        <w:tab w:val="right" w:leader="dot" w:pos="9298"/>
      </w:tabs>
      <w:autoSpaceDE w:val="0"/>
      <w:autoSpaceDN w:val="0"/>
    </w:pPr>
    <w:rPr>
      <w:rFonts w:ascii="宋体" w:hAnsi="Times New Roman" w:cs="宋体"/>
      <w:kern w:val="0"/>
    </w:rPr>
  </w:style>
  <w:style w:type="paragraph" w:customStyle="1" w:styleId="102">
    <w:name w:val="附录三级条标题"/>
    <w:basedOn w:val="97"/>
    <w:next w:val="19"/>
    <w:qFormat/>
    <w:uiPriority w:val="0"/>
    <w:pPr>
      <w:numPr>
        <w:ilvl w:val="4"/>
      </w:numPr>
      <w:outlineLvl w:val="4"/>
    </w:pPr>
  </w:style>
  <w:style w:type="paragraph" w:customStyle="1" w:styleId="103">
    <w:name w:val="附录三级无"/>
    <w:basedOn w:val="102"/>
    <w:qFormat/>
    <w:uiPriority w:val="0"/>
    <w:pPr>
      <w:tabs>
        <w:tab w:val="clear" w:pos="360"/>
      </w:tabs>
      <w:spacing w:beforeLines="0" w:afterLines="0"/>
    </w:pPr>
    <w:rPr>
      <w:rFonts w:ascii="宋体" w:eastAsia="宋体" w:cs="宋体"/>
    </w:rPr>
  </w:style>
  <w:style w:type="paragraph" w:customStyle="1" w:styleId="104">
    <w:name w:val="附录数字编号列项（二级）"/>
    <w:qFormat/>
    <w:uiPriority w:val="0"/>
    <w:pPr>
      <w:numPr>
        <w:ilvl w:val="1"/>
        <w:numId w:val="13"/>
      </w:numPr>
    </w:pPr>
    <w:rPr>
      <w:rFonts w:ascii="宋体" w:hAnsi="Times New Roman" w:eastAsia="宋体" w:cs="宋体"/>
      <w:sz w:val="21"/>
      <w:szCs w:val="21"/>
      <w:lang w:val="en-US" w:eastAsia="zh-CN" w:bidi="ar-SA"/>
    </w:rPr>
  </w:style>
  <w:style w:type="paragraph" w:customStyle="1" w:styleId="105">
    <w:name w:val="附录四级条标题"/>
    <w:basedOn w:val="102"/>
    <w:next w:val="19"/>
    <w:qFormat/>
    <w:uiPriority w:val="0"/>
    <w:pPr>
      <w:numPr>
        <w:ilvl w:val="5"/>
      </w:numPr>
      <w:outlineLvl w:val="5"/>
    </w:pPr>
  </w:style>
  <w:style w:type="paragraph" w:customStyle="1" w:styleId="106">
    <w:name w:val="附录四级无"/>
    <w:basedOn w:val="105"/>
    <w:qFormat/>
    <w:uiPriority w:val="0"/>
    <w:pPr>
      <w:tabs>
        <w:tab w:val="clear" w:pos="360"/>
      </w:tabs>
      <w:spacing w:beforeLines="0" w:afterLines="0"/>
    </w:pPr>
    <w:rPr>
      <w:rFonts w:ascii="宋体" w:eastAsia="宋体" w:cs="宋体"/>
    </w:rPr>
  </w:style>
  <w:style w:type="paragraph" w:customStyle="1" w:styleId="107">
    <w:name w:val="附录图标号"/>
    <w:basedOn w:val="1"/>
    <w:qFormat/>
    <w:uiPriority w:val="0"/>
    <w:pPr>
      <w:keepNext/>
      <w:pageBreakBefore/>
      <w:numPr>
        <w:ilvl w:val="0"/>
        <w:numId w:val="14"/>
      </w:numPr>
      <w:spacing w:line="14" w:lineRule="exact"/>
      <w:ind w:firstLine="363"/>
      <w:jc w:val="center"/>
      <w:outlineLvl w:val="0"/>
    </w:pPr>
    <w:rPr>
      <w:rFonts w:ascii="Times New Roman" w:hAnsi="Times New Roman" w:cs="Times New Roman"/>
      <w:color w:val="FFFFFF"/>
    </w:rPr>
  </w:style>
  <w:style w:type="paragraph" w:customStyle="1" w:styleId="108">
    <w:name w:val="附录图标题"/>
    <w:basedOn w:val="1"/>
    <w:next w:val="19"/>
    <w:qFormat/>
    <w:uiPriority w:val="0"/>
    <w:pPr>
      <w:widowControl w:val="0"/>
      <w:numPr>
        <w:ilvl w:val="1"/>
        <w:numId w:val="14"/>
      </w:numPr>
      <w:tabs>
        <w:tab w:val="left" w:pos="363"/>
      </w:tabs>
      <w:spacing w:beforeLines="50" w:afterLines="50"/>
      <w:jc w:val="center"/>
    </w:pPr>
    <w:rPr>
      <w:rFonts w:ascii="黑体" w:hAnsi="Times New Roman" w:eastAsia="黑体" w:cs="黑体"/>
    </w:rPr>
  </w:style>
  <w:style w:type="paragraph" w:customStyle="1" w:styleId="109">
    <w:name w:val="附录五级条标题"/>
    <w:basedOn w:val="105"/>
    <w:next w:val="19"/>
    <w:qFormat/>
    <w:uiPriority w:val="0"/>
    <w:pPr>
      <w:numPr>
        <w:ilvl w:val="6"/>
      </w:numPr>
      <w:outlineLvl w:val="6"/>
    </w:pPr>
  </w:style>
  <w:style w:type="paragraph" w:customStyle="1" w:styleId="110">
    <w:name w:val="附录五级无"/>
    <w:basedOn w:val="109"/>
    <w:qFormat/>
    <w:uiPriority w:val="0"/>
    <w:pPr>
      <w:tabs>
        <w:tab w:val="clear" w:pos="360"/>
      </w:tabs>
      <w:spacing w:beforeLines="0" w:afterLines="0"/>
    </w:pPr>
    <w:rPr>
      <w:rFonts w:ascii="宋体" w:eastAsia="宋体" w:cs="宋体"/>
    </w:rPr>
  </w:style>
  <w:style w:type="paragraph" w:customStyle="1" w:styleId="111">
    <w:name w:val="附录章标题"/>
    <w:next w:val="19"/>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黑体"/>
      <w:kern w:val="21"/>
      <w:sz w:val="21"/>
      <w:szCs w:val="21"/>
      <w:lang w:val="en-US" w:eastAsia="zh-CN" w:bidi="ar-SA"/>
    </w:rPr>
  </w:style>
  <w:style w:type="paragraph" w:customStyle="1" w:styleId="112">
    <w:name w:val="附录一级条标题"/>
    <w:basedOn w:val="111"/>
    <w:next w:val="19"/>
    <w:qFormat/>
    <w:uiPriority w:val="0"/>
    <w:pPr>
      <w:numPr>
        <w:ilvl w:val="2"/>
      </w:numPr>
      <w:autoSpaceDN w:val="0"/>
      <w:spacing w:beforeLines="50" w:afterLines="50"/>
      <w:outlineLvl w:val="2"/>
    </w:pPr>
  </w:style>
  <w:style w:type="paragraph" w:customStyle="1" w:styleId="113">
    <w:name w:val="附录一级无"/>
    <w:basedOn w:val="112"/>
    <w:qFormat/>
    <w:uiPriority w:val="0"/>
    <w:pPr>
      <w:tabs>
        <w:tab w:val="clear" w:pos="360"/>
      </w:tabs>
      <w:spacing w:beforeLines="0" w:afterLines="0"/>
    </w:pPr>
    <w:rPr>
      <w:rFonts w:ascii="宋体" w:eastAsia="宋体" w:cs="宋体"/>
    </w:rPr>
  </w:style>
  <w:style w:type="paragraph" w:customStyle="1" w:styleId="114">
    <w:name w:val="附录字母编号列项（一级）"/>
    <w:qFormat/>
    <w:uiPriority w:val="0"/>
    <w:pPr>
      <w:numPr>
        <w:ilvl w:val="0"/>
        <w:numId w:val="13"/>
      </w:numPr>
    </w:pPr>
    <w:rPr>
      <w:rFonts w:ascii="宋体" w:hAnsi="Times New Roman" w:eastAsia="宋体" w:cs="宋体"/>
      <w:sz w:val="21"/>
      <w:szCs w:val="21"/>
      <w:lang w:val="en-US" w:eastAsia="zh-CN" w:bidi="ar-SA"/>
    </w:rPr>
  </w:style>
  <w:style w:type="paragraph" w:customStyle="1" w:styleId="115">
    <w:name w:val="列项说明"/>
    <w:basedOn w:val="1"/>
    <w:qFormat/>
    <w:uiPriority w:val="0"/>
    <w:pPr>
      <w:widowControl w:val="0"/>
      <w:adjustRightInd w:val="0"/>
      <w:spacing w:line="320" w:lineRule="exact"/>
      <w:ind w:left="400" w:leftChars="200" w:hanging="200" w:hangingChars="200"/>
      <w:jc w:val="left"/>
      <w:textAlignment w:val="baseline"/>
    </w:pPr>
    <w:rPr>
      <w:rFonts w:ascii="宋体" w:hAnsi="Times New Roman" w:cs="宋体"/>
      <w:kern w:val="0"/>
    </w:rPr>
  </w:style>
  <w:style w:type="paragraph" w:customStyle="1" w:styleId="116">
    <w:name w:val="列项说明数字编号"/>
    <w:qFormat/>
    <w:uiPriority w:val="0"/>
    <w:pPr>
      <w:ind w:left="600" w:leftChars="400" w:hanging="200" w:hangingChars="200"/>
    </w:pPr>
    <w:rPr>
      <w:rFonts w:ascii="宋体" w:hAnsi="Times New Roman" w:eastAsia="宋体" w:cs="宋体"/>
      <w:sz w:val="21"/>
      <w:szCs w:val="21"/>
      <w:lang w:val="en-US" w:eastAsia="zh-CN" w:bidi="ar-SA"/>
    </w:rPr>
  </w:style>
  <w:style w:type="paragraph" w:customStyle="1" w:styleId="117">
    <w:name w:val="目次、索引正文"/>
    <w:qFormat/>
    <w:uiPriority w:val="0"/>
    <w:pPr>
      <w:spacing w:line="320" w:lineRule="exact"/>
      <w:jc w:val="both"/>
    </w:pPr>
    <w:rPr>
      <w:rFonts w:ascii="宋体" w:hAnsi="Times New Roman" w:eastAsia="宋体" w:cs="宋体"/>
      <w:sz w:val="21"/>
      <w:szCs w:val="21"/>
      <w:lang w:val="en-US" w:eastAsia="zh-CN" w:bidi="ar-SA"/>
    </w:rPr>
  </w:style>
  <w:style w:type="paragraph" w:customStyle="1" w:styleId="118">
    <w:name w:val="其他标准标志"/>
    <w:basedOn w:val="75"/>
    <w:qFormat/>
    <w:uiPriority w:val="0"/>
    <w:pPr>
      <w:framePr w:w="6101" w:vAnchor="page" w:hAnchor="page" w:x="4673" w:y="942"/>
    </w:pPr>
    <w:rPr>
      <w:w w:val="130"/>
    </w:rPr>
  </w:style>
  <w:style w:type="paragraph" w:customStyle="1" w:styleId="119">
    <w:name w:val="其他标准称谓"/>
    <w:next w:val="1"/>
    <w:qFormat/>
    <w:uiPriority w:val="0"/>
    <w:pPr>
      <w:framePr w:hSpace="181" w:vSpace="181" w:wrap="auto" w:vAnchor="page" w:hAnchor="page" w:x="1419" w:y="2286" w:anchorLock="1"/>
      <w:spacing w:line="240" w:lineRule="atLeast"/>
      <w:jc w:val="distribute"/>
    </w:pPr>
    <w:rPr>
      <w:rFonts w:ascii="黑体" w:hAnsi="宋体" w:eastAsia="黑体" w:cs="黑体"/>
      <w:spacing w:val="-40"/>
      <w:sz w:val="48"/>
      <w:szCs w:val="48"/>
      <w:lang w:val="en-US" w:eastAsia="zh-CN" w:bidi="ar-SA"/>
    </w:rPr>
  </w:style>
  <w:style w:type="paragraph" w:customStyle="1" w:styleId="120">
    <w:name w:val="其他发布部门"/>
    <w:basedOn w:val="83"/>
    <w:qFormat/>
    <w:uiPriority w:val="0"/>
    <w:pPr>
      <w:framePr w:y="15310"/>
      <w:spacing w:line="240" w:lineRule="atLeast"/>
    </w:pPr>
    <w:rPr>
      <w:rFonts w:ascii="黑体" w:eastAsia="黑体" w:cs="黑体"/>
      <w:b w:val="0"/>
      <w:bCs w:val="0"/>
    </w:rPr>
  </w:style>
  <w:style w:type="paragraph" w:customStyle="1" w:styleId="121">
    <w:name w:val="前言、引言标题"/>
    <w:next w:val="19"/>
    <w:qFormat/>
    <w:uiPriority w:val="0"/>
    <w:pPr>
      <w:keepNext/>
      <w:pageBreakBefore/>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122">
    <w:name w:val="三级无"/>
    <w:basedOn w:val="60"/>
    <w:qFormat/>
    <w:uiPriority w:val="0"/>
    <w:pPr>
      <w:spacing w:beforeLines="0" w:afterLines="0"/>
    </w:pPr>
    <w:rPr>
      <w:rFonts w:ascii="宋体" w:eastAsia="宋体" w:cs="宋体"/>
    </w:rPr>
  </w:style>
  <w:style w:type="paragraph" w:customStyle="1" w:styleId="123">
    <w:name w:val="实施日期"/>
    <w:basedOn w:val="84"/>
    <w:qFormat/>
    <w:uiPriority w:val="0"/>
    <w:pPr>
      <w:framePr w:vAnchor="page" w:hAnchor="text"/>
      <w:jc w:val="right"/>
    </w:pPr>
  </w:style>
  <w:style w:type="paragraph" w:customStyle="1" w:styleId="124">
    <w:name w:val="示例后文字"/>
    <w:basedOn w:val="19"/>
    <w:next w:val="19"/>
    <w:qFormat/>
    <w:uiPriority w:val="0"/>
    <w:pPr>
      <w:ind w:firstLine="360"/>
    </w:pPr>
    <w:rPr>
      <w:sz w:val="18"/>
      <w:szCs w:val="18"/>
    </w:rPr>
  </w:style>
  <w:style w:type="paragraph" w:customStyle="1" w:styleId="125">
    <w:name w:val="首示例"/>
    <w:next w:val="19"/>
    <w:link w:val="126"/>
    <w:qFormat/>
    <w:uiPriority w:val="0"/>
    <w:pPr>
      <w:numPr>
        <w:ilvl w:val="0"/>
        <w:numId w:val="15"/>
      </w:numPr>
      <w:tabs>
        <w:tab w:val="left" w:pos="360"/>
      </w:tabs>
    </w:pPr>
    <w:rPr>
      <w:rFonts w:ascii="宋体" w:hAnsi="宋体" w:eastAsia="宋体" w:cs="宋体"/>
      <w:kern w:val="2"/>
      <w:sz w:val="18"/>
      <w:szCs w:val="18"/>
      <w:lang w:val="en-US" w:eastAsia="zh-CN" w:bidi="ar-SA"/>
    </w:rPr>
  </w:style>
  <w:style w:type="character" w:customStyle="1" w:styleId="126">
    <w:name w:val="首示例 Char"/>
    <w:link w:val="125"/>
    <w:qFormat/>
    <w:locked/>
    <w:uiPriority w:val="0"/>
    <w:rPr>
      <w:rFonts w:ascii="宋体" w:hAnsi="宋体" w:cs="宋体"/>
      <w:kern w:val="2"/>
      <w:sz w:val="18"/>
      <w:szCs w:val="18"/>
      <w:lang w:val="en-US" w:eastAsia="zh-CN" w:bidi="ar-SA"/>
    </w:rPr>
  </w:style>
  <w:style w:type="paragraph" w:customStyle="1" w:styleId="127">
    <w:name w:val="四级无"/>
    <w:basedOn w:val="64"/>
    <w:qFormat/>
    <w:uiPriority w:val="0"/>
    <w:pPr>
      <w:spacing w:beforeLines="0" w:afterLines="0"/>
    </w:pPr>
    <w:rPr>
      <w:rFonts w:ascii="宋体" w:eastAsia="宋体" w:cs="宋体"/>
    </w:rPr>
  </w:style>
  <w:style w:type="paragraph" w:customStyle="1" w:styleId="128">
    <w:name w:val="条文脚注"/>
    <w:basedOn w:val="20"/>
    <w:qFormat/>
    <w:uiPriority w:val="0"/>
    <w:pPr>
      <w:numPr>
        <w:numId w:val="0"/>
      </w:numPr>
      <w:jc w:val="both"/>
    </w:pPr>
  </w:style>
  <w:style w:type="paragraph" w:customStyle="1" w:styleId="129">
    <w:name w:val="图标脚注说明"/>
    <w:basedOn w:val="19"/>
    <w:qFormat/>
    <w:uiPriority w:val="0"/>
    <w:pPr>
      <w:ind w:left="840" w:hanging="420" w:firstLineChars="0"/>
    </w:pPr>
    <w:rPr>
      <w:sz w:val="18"/>
      <w:szCs w:val="18"/>
    </w:rPr>
  </w:style>
  <w:style w:type="paragraph" w:customStyle="1" w:styleId="130">
    <w:name w:val="图表脚注说明"/>
    <w:basedOn w:val="1"/>
    <w:qFormat/>
    <w:uiPriority w:val="0"/>
    <w:pPr>
      <w:widowControl w:val="0"/>
      <w:numPr>
        <w:ilvl w:val="0"/>
        <w:numId w:val="16"/>
      </w:numPr>
    </w:pPr>
    <w:rPr>
      <w:rFonts w:ascii="宋体" w:hAnsi="Times New Roman" w:cs="宋体"/>
      <w:sz w:val="18"/>
      <w:szCs w:val="18"/>
    </w:rPr>
  </w:style>
  <w:style w:type="paragraph" w:customStyle="1" w:styleId="131">
    <w:name w:val="图的脚注"/>
    <w:next w:val="19"/>
    <w:qFormat/>
    <w:uiPriority w:val="0"/>
    <w:pPr>
      <w:widowControl w:val="0"/>
      <w:ind w:left="840" w:leftChars="200" w:hanging="420" w:hangingChars="200"/>
      <w:jc w:val="both"/>
    </w:pPr>
    <w:rPr>
      <w:rFonts w:ascii="宋体" w:hAnsi="Times New Roman" w:eastAsia="宋体" w:cs="宋体"/>
      <w:sz w:val="18"/>
      <w:szCs w:val="18"/>
      <w:lang w:val="en-US" w:eastAsia="zh-CN" w:bidi="ar-SA"/>
    </w:rPr>
  </w:style>
  <w:style w:type="paragraph" w:customStyle="1" w:styleId="132">
    <w:name w:val="文献分类号"/>
    <w:qFormat/>
    <w:uiPriority w:val="0"/>
    <w:pPr>
      <w:framePr w:hSpace="180" w:vSpace="180" w:wrap="auto" w:vAnchor="margin" w:hAnchor="margin" w:y="1" w:anchorLock="1"/>
      <w:widowControl w:val="0"/>
      <w:textAlignment w:val="center"/>
    </w:pPr>
    <w:rPr>
      <w:rFonts w:ascii="黑体" w:hAnsi="Times New Roman" w:eastAsia="黑体" w:cs="黑体"/>
      <w:sz w:val="21"/>
      <w:szCs w:val="21"/>
      <w:lang w:val="en-US" w:eastAsia="zh-CN" w:bidi="ar-SA"/>
    </w:rPr>
  </w:style>
  <w:style w:type="paragraph" w:customStyle="1" w:styleId="133">
    <w:name w:val="五级无"/>
    <w:basedOn w:val="65"/>
    <w:qFormat/>
    <w:uiPriority w:val="0"/>
    <w:pPr>
      <w:spacing w:beforeLines="0" w:afterLines="0"/>
    </w:pPr>
    <w:rPr>
      <w:rFonts w:ascii="宋体" w:eastAsia="宋体" w:cs="宋体"/>
    </w:rPr>
  </w:style>
  <w:style w:type="paragraph" w:customStyle="1" w:styleId="134">
    <w:name w:val="一级无"/>
    <w:basedOn w:val="50"/>
    <w:link w:val="135"/>
    <w:qFormat/>
    <w:uiPriority w:val="0"/>
    <w:pPr>
      <w:spacing w:beforeLines="0" w:afterLines="0"/>
    </w:pPr>
    <w:rPr>
      <w:rFonts w:ascii="宋体" w:eastAsia="宋体" w:cs="宋体"/>
      <w:sz w:val="20"/>
      <w:szCs w:val="20"/>
    </w:rPr>
  </w:style>
  <w:style w:type="character" w:customStyle="1" w:styleId="135">
    <w:name w:val="一级无 Char"/>
    <w:link w:val="134"/>
    <w:qFormat/>
    <w:locked/>
    <w:uiPriority w:val="0"/>
    <w:rPr>
      <w:rFonts w:ascii="宋体" w:eastAsia="宋体" w:cs="宋体"/>
      <w:lang w:val="en-US" w:eastAsia="zh-CN" w:bidi="ar-SA"/>
    </w:rPr>
  </w:style>
  <w:style w:type="paragraph" w:customStyle="1" w:styleId="136">
    <w:name w:val="正文表标题"/>
    <w:next w:val="19"/>
    <w:qFormat/>
    <w:uiPriority w:val="0"/>
    <w:pPr>
      <w:numPr>
        <w:ilvl w:val="0"/>
        <w:numId w:val="17"/>
      </w:numPr>
      <w:tabs>
        <w:tab w:val="left" w:pos="360"/>
      </w:tabs>
      <w:spacing w:beforeLines="50" w:afterLines="50"/>
      <w:jc w:val="center"/>
    </w:pPr>
    <w:rPr>
      <w:rFonts w:ascii="黑体" w:hAnsi="Times New Roman" w:eastAsia="黑体" w:cs="黑体"/>
      <w:sz w:val="21"/>
      <w:szCs w:val="21"/>
      <w:lang w:val="en-US" w:eastAsia="zh-CN" w:bidi="ar-SA"/>
    </w:rPr>
  </w:style>
  <w:style w:type="paragraph" w:customStyle="1" w:styleId="137">
    <w:name w:val="正文公式编号制表符"/>
    <w:basedOn w:val="19"/>
    <w:next w:val="19"/>
    <w:qFormat/>
    <w:uiPriority w:val="0"/>
    <w:pPr>
      <w:ind w:firstLine="0" w:firstLineChars="0"/>
    </w:pPr>
  </w:style>
  <w:style w:type="paragraph" w:customStyle="1" w:styleId="138">
    <w:name w:val="正文图标题"/>
    <w:next w:val="19"/>
    <w:qFormat/>
    <w:uiPriority w:val="0"/>
    <w:pPr>
      <w:numPr>
        <w:ilvl w:val="0"/>
        <w:numId w:val="18"/>
      </w:numPr>
      <w:spacing w:beforeLines="50" w:afterLines="50"/>
      <w:jc w:val="center"/>
    </w:pPr>
    <w:rPr>
      <w:rFonts w:ascii="黑体" w:hAnsi="Times New Roman" w:eastAsia="黑体" w:cs="黑体"/>
      <w:sz w:val="21"/>
      <w:szCs w:val="21"/>
      <w:lang w:val="en-US" w:eastAsia="zh-CN" w:bidi="ar-SA"/>
    </w:rPr>
  </w:style>
  <w:style w:type="paragraph" w:customStyle="1" w:styleId="139">
    <w:name w:val="终结线"/>
    <w:basedOn w:val="1"/>
    <w:qFormat/>
    <w:uiPriority w:val="0"/>
    <w:pPr>
      <w:framePr w:hSpace="181" w:vSpace="181" w:wrap="auto" w:vAnchor="text" w:hAnchor="margin" w:xAlign="center" w:y="285"/>
      <w:widowControl w:val="0"/>
    </w:pPr>
    <w:rPr>
      <w:rFonts w:ascii="Times New Roman" w:hAnsi="Times New Roman" w:cs="Times New Roman"/>
    </w:rPr>
  </w:style>
  <w:style w:type="paragraph" w:customStyle="1" w:styleId="140">
    <w:name w:val="其他发布日期"/>
    <w:basedOn w:val="84"/>
    <w:qFormat/>
    <w:uiPriority w:val="0"/>
    <w:pPr>
      <w:framePr w:vAnchor="page" w:hAnchor="text" w:x="1419"/>
    </w:pPr>
  </w:style>
  <w:style w:type="paragraph" w:customStyle="1" w:styleId="141">
    <w:name w:val="其他实施日期"/>
    <w:basedOn w:val="123"/>
    <w:qFormat/>
    <w:uiPriority w:val="0"/>
  </w:style>
  <w:style w:type="paragraph" w:customStyle="1" w:styleId="142">
    <w:name w:val="封面标准名称2"/>
    <w:basedOn w:val="87"/>
    <w:qFormat/>
    <w:uiPriority w:val="0"/>
    <w:pPr>
      <w:framePr w:y="4469"/>
      <w:spacing w:beforeLines="630"/>
    </w:pPr>
  </w:style>
  <w:style w:type="paragraph" w:customStyle="1" w:styleId="143">
    <w:name w:val="封面标准英文名称2"/>
    <w:basedOn w:val="88"/>
    <w:qFormat/>
    <w:uiPriority w:val="0"/>
    <w:pPr>
      <w:framePr w:y="4469"/>
    </w:pPr>
  </w:style>
  <w:style w:type="paragraph" w:customStyle="1" w:styleId="144">
    <w:name w:val="封面一致性程度标识2"/>
    <w:basedOn w:val="89"/>
    <w:qFormat/>
    <w:uiPriority w:val="0"/>
    <w:pPr>
      <w:framePr w:y="4469"/>
    </w:pPr>
  </w:style>
  <w:style w:type="paragraph" w:customStyle="1" w:styleId="145">
    <w:name w:val="封面标准文稿类别2"/>
    <w:basedOn w:val="90"/>
    <w:qFormat/>
    <w:uiPriority w:val="0"/>
    <w:pPr>
      <w:framePr w:y="4469"/>
    </w:pPr>
  </w:style>
  <w:style w:type="paragraph" w:customStyle="1" w:styleId="146">
    <w:name w:val="封面标准文稿编辑信息2"/>
    <w:basedOn w:val="91"/>
    <w:qFormat/>
    <w:uiPriority w:val="0"/>
    <w:pPr>
      <w:framePr w:y="4469"/>
    </w:pPr>
  </w:style>
  <w:style w:type="character" w:customStyle="1" w:styleId="147">
    <w:name w:val="15"/>
    <w:qFormat/>
    <w:uiPriority w:val="0"/>
    <w:rPr>
      <w:rFonts w:ascii="Times New Roman" w:hAnsi="Times New Roman" w:cs="Times New Roman"/>
      <w:b/>
      <w:bCs/>
    </w:rPr>
  </w:style>
  <w:style w:type="paragraph" w:customStyle="1" w:styleId="148">
    <w:name w:val="列表段落1"/>
    <w:basedOn w:val="1"/>
    <w:qFormat/>
    <w:uiPriority w:val="0"/>
    <w:pPr>
      <w:widowControl w:val="0"/>
      <w:autoSpaceDE w:val="0"/>
      <w:autoSpaceDN w:val="0"/>
      <w:ind w:left="746" w:hanging="532"/>
      <w:jc w:val="left"/>
    </w:pPr>
    <w:rPr>
      <w:rFonts w:ascii="宋体" w:hAnsi="宋体" w:cs="宋体"/>
      <w:kern w:val="0"/>
      <w:sz w:val="22"/>
      <w:szCs w:val="22"/>
    </w:rPr>
  </w:style>
  <w:style w:type="character" w:customStyle="1" w:styleId="149">
    <w:name w:val="日期 Char"/>
    <w:link w:val="12"/>
    <w:qFormat/>
    <w:uiPriority w:val="0"/>
    <w:rPr>
      <w:rFonts w:ascii="Calibri" w:hAnsi="Calibri" w:cs="Calibri"/>
      <w:kern w:val="2"/>
      <w:sz w:val="21"/>
      <w:szCs w:val="21"/>
    </w:rPr>
  </w:style>
  <w:style w:type="paragraph" w:customStyle="1" w:styleId="150">
    <w:name w:val="列出段落1"/>
    <w:basedOn w:val="1"/>
    <w:qFormat/>
    <w:uiPriority w:val="1"/>
    <w:pPr>
      <w:widowControl w:val="0"/>
      <w:autoSpaceDE w:val="0"/>
      <w:autoSpaceDN w:val="0"/>
      <w:ind w:left="481" w:hanging="375"/>
      <w:jc w:val="left"/>
    </w:pPr>
    <w:rPr>
      <w:rFonts w:ascii="宋体" w:hAnsi="宋体" w:cs="宋体"/>
      <w:kern w:val="0"/>
      <w:sz w:val="22"/>
      <w:szCs w:val="22"/>
      <w:lang w:eastAsia="en-US"/>
    </w:rPr>
  </w:style>
  <w:style w:type="character" w:customStyle="1" w:styleId="151">
    <w:name w:val="批注框文本 Char"/>
    <w:basedOn w:val="27"/>
    <w:link w:val="14"/>
    <w:uiPriority w:val="0"/>
    <w:rPr>
      <w:rFonts w:ascii="Calibri" w:hAnsi="Calibri" w:cs="Calibri"/>
      <w:kern w:val="2"/>
      <w:sz w:val="18"/>
      <w:szCs w:val="18"/>
    </w:rPr>
  </w:style>
  <w:style w:type="character" w:customStyle="1" w:styleId="152">
    <w:name w:val="三号宋体"/>
    <w:autoRedefine/>
    <w:qFormat/>
    <w:uiPriority w:val="1"/>
    <w:rPr>
      <w:rFonts w:ascii="Times New Roman" w:hAnsi="Times New Roman" w:eastAsia="宋体"/>
      <w:sz w:val="32"/>
    </w:rPr>
  </w:style>
  <w:style w:type="character" w:styleId="153">
    <w:name w:val="Placeholder Text"/>
    <w:basedOn w:val="27"/>
    <w:unhideWhenUsed/>
    <w:qFormat/>
    <w:uiPriority w:val="99"/>
    <w:rPr>
      <w:color w:val="66666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oleObject" Target="embeddings/oleObject4.bin"/><Relationship Id="rId15" Type="http://schemas.openxmlformats.org/officeDocument/2006/relationships/image" Target="media/image5.wmf"/><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png"/><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115"/>
    <customShpInfo spid="_x0000_s2114"/>
    <customShpInfo spid="_x0000_s2178"/>
    <customShpInfo spid="_x0000_s2179"/>
    <customShpInfo spid="_x0000_s2177"/>
    <customShpInfo spid="_x0000_s2087"/>
    <customShpInfo spid="_x0000_s2086"/>
    <customShpInfo spid="_x0000_s208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2FC31C-D9CC-42B8-88F2-10C618003410}">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18</Pages>
  <Words>4633</Words>
  <Characters>5553</Characters>
  <Lines>64</Lines>
  <Paragraphs>18</Paragraphs>
  <TotalTime>124</TotalTime>
  <ScaleCrop>false</ScaleCrop>
  <LinksUpToDate>false</LinksUpToDate>
  <CharactersWithSpaces>6245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2024-12-20T02:45:00Z</dcterms:created>
  <dc:creator>CNIS</dc:creator>
  <cp:lastModifiedBy>依然Mr.沈</cp:lastModifiedBy>
  <cp:lastPrinted>2024-09-04T07:41:00Z</cp:lastPrinted>
  <dcterms:modified xsi:type="dcterms:W3CDTF">2024-12-24T07:49:40Z</dcterms:modified>
  <dc:title>标准名称</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B7E6983A05F64A2B86FB8EAD9DCA70A0</vt:lpwstr>
  </property>
</Properties>
</file>